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40"/>
        <w:jc w:val="right"/>
        <w:rPr>
          <w:rFonts w:hint="default"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令和５年</w:t>
      </w:r>
      <w:r>
        <w:rPr>
          <w:rFonts w:hint="eastAsia" w:asciiTheme="minorEastAsia" w:hAnsiTheme="minorEastAsia" w:eastAsiaTheme="minorEastAsia"/>
          <w:color w:val="000000" w:themeColor="text1"/>
          <w:kern w:val="0"/>
          <w:sz w:val="24"/>
        </w:rPr>
        <w:t>(2023</w:t>
      </w:r>
      <w:r>
        <w:rPr>
          <w:rFonts w:hint="eastAsia" w:asciiTheme="minorEastAsia" w:hAnsiTheme="minorEastAsia" w:eastAsiaTheme="minorEastAsia"/>
          <w:color w:val="000000" w:themeColor="text1"/>
          <w:kern w:val="0"/>
          <w:sz w:val="24"/>
        </w:rPr>
        <w:t>年</w:t>
      </w:r>
      <w:r>
        <w:rPr>
          <w:rFonts w:hint="eastAsia" w:asciiTheme="minorEastAsia" w:hAnsiTheme="minorEastAsia" w:eastAsiaTheme="minorEastAsia"/>
          <w:color w:val="000000" w:themeColor="text1"/>
          <w:kern w:val="0"/>
          <w:sz w:val="24"/>
        </w:rPr>
        <w:t>)</w:t>
      </w:r>
      <w:r>
        <w:rPr>
          <w:rFonts w:hint="eastAsia" w:asciiTheme="minorEastAsia" w:hAnsiTheme="minorEastAsia" w:eastAsiaTheme="minorEastAsia"/>
          <w:color w:val="000000" w:themeColor="text1"/>
          <w:kern w:val="0"/>
          <w:sz w:val="24"/>
        </w:rPr>
        <w:t>　</w:t>
      </w:r>
      <w:bookmarkStart w:id="0" w:name="_GoBack"/>
      <w:bookmarkEnd w:id="0"/>
      <w:r>
        <w:rPr>
          <w:rFonts w:hint="eastAsia" w:asciiTheme="minorEastAsia" w:hAnsiTheme="minorEastAsia" w:eastAsiaTheme="minorEastAsia"/>
          <w:color w:val="000000" w:themeColor="text1"/>
          <w:kern w:val="0"/>
          <w:sz w:val="24"/>
        </w:rPr>
        <w:t>６月　２０日</w:t>
      </w:r>
    </w:p>
    <w:p>
      <w:pPr>
        <w:pStyle w:val="0"/>
        <w:ind w:right="1200" w:firstLine="3600" w:firstLineChars="1500"/>
        <w:rPr>
          <w:rFonts w:hint="default" w:asciiTheme="minorEastAsia" w:hAnsiTheme="minorEastAsia" w:eastAsiaTheme="minorEastAsia"/>
          <w:color w:val="000000" w:themeColor="text1"/>
          <w:kern w:val="0"/>
          <w:sz w:val="24"/>
        </w:rPr>
      </w:pPr>
    </w:p>
    <w:p>
      <w:pPr>
        <w:pStyle w:val="0"/>
        <w:ind w:right="12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kern w:val="0"/>
          <w:sz w:val="24"/>
        </w:rPr>
        <w:t>　　　入　札　公　告</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条件付</w:t>
      </w:r>
      <w:r>
        <w:rPr>
          <w:rFonts w:hint="eastAsia" w:asciiTheme="minorEastAsia" w:hAnsiTheme="minorEastAsia" w:eastAsiaTheme="minorEastAsia"/>
          <w:color w:val="000000" w:themeColor="text1"/>
          <w:sz w:val="24"/>
        </w:rPr>
        <w:t>き</w:t>
      </w:r>
      <w:r>
        <w:rPr>
          <w:rFonts w:hint="default" w:asciiTheme="minorEastAsia" w:hAnsiTheme="minorEastAsia" w:eastAsiaTheme="minorEastAsia"/>
          <w:color w:val="000000" w:themeColor="text1"/>
          <w:sz w:val="24"/>
        </w:rPr>
        <w:t>一般競争入札を施行するので、地方自治法施行令（昭和</w:t>
      </w:r>
      <w:r>
        <w:rPr>
          <w:rFonts w:hint="eastAsia" w:asciiTheme="minorEastAsia" w:hAnsiTheme="minorEastAsia" w:eastAsiaTheme="minorEastAsia"/>
          <w:color w:val="000000" w:themeColor="text1"/>
          <w:sz w:val="24"/>
        </w:rPr>
        <w:t>２２</w:t>
      </w:r>
      <w:r>
        <w:rPr>
          <w:rFonts w:hint="default" w:asciiTheme="minorEastAsia" w:hAnsiTheme="minorEastAsia" w:eastAsiaTheme="minorEastAsia"/>
          <w:color w:val="000000" w:themeColor="text1"/>
          <w:sz w:val="24"/>
        </w:rPr>
        <w:t>年政令第</w:t>
      </w:r>
      <w:r>
        <w:rPr>
          <w:rFonts w:hint="eastAsia" w:asciiTheme="minorEastAsia" w:hAnsiTheme="minorEastAsia" w:eastAsiaTheme="minorEastAsia"/>
          <w:color w:val="000000" w:themeColor="text1"/>
          <w:sz w:val="24"/>
        </w:rPr>
        <w:t>１６</w:t>
      </w:r>
      <w:r>
        <w:rPr>
          <w:rFonts w:hint="default" w:asciiTheme="minorEastAsia" w:hAnsiTheme="minorEastAsia" w:eastAsiaTheme="minorEastAsia"/>
          <w:color w:val="000000" w:themeColor="text1"/>
          <w:sz w:val="24"/>
        </w:rPr>
        <w:t>号）第</w:t>
      </w:r>
      <w:r>
        <w:rPr>
          <w:rFonts w:hint="eastAsia" w:asciiTheme="minorEastAsia" w:hAnsiTheme="minorEastAsia" w:eastAsiaTheme="minorEastAsia"/>
          <w:color w:val="000000" w:themeColor="text1"/>
          <w:sz w:val="24"/>
        </w:rPr>
        <w:t>１６７</w:t>
      </w:r>
      <w:r>
        <w:rPr>
          <w:rFonts w:hint="default" w:asciiTheme="minorEastAsia" w:hAnsiTheme="minorEastAsia" w:eastAsiaTheme="minorEastAsia"/>
          <w:color w:val="000000" w:themeColor="text1"/>
          <w:sz w:val="24"/>
        </w:rPr>
        <w:t>条の</w:t>
      </w:r>
      <w:r>
        <w:rPr>
          <w:rFonts w:hint="eastAsia" w:asciiTheme="minorEastAsia" w:hAnsiTheme="minorEastAsia" w:eastAsiaTheme="minorEastAsia"/>
          <w:color w:val="000000" w:themeColor="text1"/>
          <w:sz w:val="24"/>
        </w:rPr>
        <w:t>６</w:t>
      </w:r>
      <w:r>
        <w:rPr>
          <w:rFonts w:hint="default" w:asciiTheme="minorEastAsia" w:hAnsiTheme="minorEastAsia" w:eastAsiaTheme="minorEastAsia"/>
          <w:color w:val="000000" w:themeColor="text1"/>
          <w:sz w:val="24"/>
        </w:rPr>
        <w:t>の規定に基づき、</w:t>
      </w:r>
      <w:r>
        <w:rPr>
          <w:rFonts w:hint="eastAsia" w:asciiTheme="minorEastAsia" w:hAnsiTheme="minorEastAsia" w:eastAsiaTheme="minorEastAsia"/>
          <w:color w:val="000000" w:themeColor="text1"/>
          <w:sz w:val="24"/>
        </w:rPr>
        <w:t>下記のとおり公告する。</w:t>
      </w:r>
    </w:p>
    <w:p>
      <w:pPr>
        <w:pStyle w:val="0"/>
        <w:rPr>
          <w:rFonts w:hint="default" w:asciiTheme="minorEastAsia" w:hAnsiTheme="minorEastAsia" w:eastAsiaTheme="minorEastAsia"/>
          <w:color w:val="000000" w:themeColor="text1"/>
          <w:sz w:val="24"/>
        </w:rPr>
      </w:pPr>
    </w:p>
    <w:p>
      <w:pPr>
        <w:pStyle w:val="0"/>
        <w:ind w:right="48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下関市長　前田　晋太郎</w:t>
      </w:r>
    </w:p>
    <w:p>
      <w:pPr>
        <w:pStyle w:val="0"/>
        <w:rPr>
          <w:rFonts w:hint="default" w:asciiTheme="minorEastAsia" w:hAnsiTheme="minorEastAsia" w:eastAsiaTheme="minorEastAsia"/>
          <w:color w:val="000000" w:themeColor="text1"/>
          <w:sz w:val="24"/>
        </w:rPr>
      </w:pPr>
    </w:p>
    <w:p>
      <w:pPr>
        <w:pStyle w:val="21"/>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　業</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務</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名　　</w:t>
      </w:r>
      <w:r>
        <w:rPr>
          <w:rFonts w:hint="eastAsia" w:asciiTheme="minorEastAsia" w:hAnsiTheme="minorEastAsia" w:eastAsiaTheme="minorEastAsia"/>
          <w:sz w:val="24"/>
        </w:rPr>
        <w:t>森林経営管理制度に伴う樹種界区分図作成業務</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履行期間　　契約締結日以降指定の日から令和６年１月３１日まで</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　業務場所　　</w:t>
      </w:r>
      <w:r>
        <w:rPr>
          <w:rFonts w:hint="eastAsia" w:asciiTheme="minorEastAsia" w:hAnsiTheme="minorEastAsia" w:eastAsiaTheme="minorEastAsia"/>
          <w:sz w:val="24"/>
        </w:rPr>
        <w:t>下関市豊田町・菊川町管内の一部</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４　業務概要　　</w:t>
      </w:r>
      <w:r>
        <w:rPr>
          <w:rFonts w:hint="eastAsia" w:asciiTheme="minorEastAsia" w:hAnsiTheme="minorEastAsia" w:eastAsiaTheme="minorEastAsia"/>
          <w:sz w:val="24"/>
        </w:rPr>
        <w:t>調査業務　一式</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（詳細　別紙１仕様書のとおり）</w:t>
      </w:r>
    </w:p>
    <w:p>
      <w:pPr>
        <w:pStyle w:val="0"/>
        <w:rPr>
          <w:rFonts w:hint="default" w:asciiTheme="minorEastAsia" w:hAnsiTheme="minorEastAsia" w:eastAsiaTheme="minorEastAsia"/>
          <w:color w:val="000000" w:themeColor="text1"/>
          <w:sz w:val="24"/>
        </w:rPr>
      </w:pPr>
    </w:p>
    <w:p>
      <w:pPr>
        <w:pStyle w:val="0"/>
        <w:rPr>
          <w:rFonts w:hint="default"/>
          <w:sz w:val="24"/>
        </w:rPr>
      </w:pPr>
      <w:r>
        <w:rPr>
          <w:rFonts w:hint="eastAsia"/>
          <w:sz w:val="24"/>
        </w:rPr>
        <w:t>５　入札参加条件（</w:t>
      </w:r>
      <w:r>
        <w:rPr>
          <w:rStyle w:val="44"/>
          <w:rFonts w:hint="default" w:ascii="Arial" w:hAnsi="Arial"/>
          <w:sz w:val="24"/>
        </w:rPr>
        <w:t>次に掲げる要件を</w:t>
      </w:r>
      <w:r>
        <w:rPr>
          <w:rStyle w:val="43"/>
          <w:rFonts w:hint="default" w:ascii="Arial" w:hAnsi="Arial"/>
          <w:b w:val="0"/>
          <w:sz w:val="24"/>
        </w:rPr>
        <w:t>すべて満たす</w:t>
      </w:r>
      <w:r>
        <w:rPr>
          <w:rStyle w:val="44"/>
          <w:rFonts w:hint="default" w:ascii="Arial" w:hAnsi="Arial"/>
          <w:sz w:val="24"/>
        </w:rPr>
        <w:t>こと</w:t>
      </w:r>
      <w:r>
        <w:rPr>
          <w:rFonts w:hint="eastAsia"/>
          <w:sz w:val="24"/>
        </w:rPr>
        <w:t>）</w:t>
      </w:r>
    </w:p>
    <w:p>
      <w:pPr>
        <w:pStyle w:val="0"/>
        <w:rPr>
          <w:rFonts w:hint="default"/>
          <w:color w:val="000000" w:themeColor="text1"/>
          <w:sz w:val="24"/>
        </w:rPr>
      </w:pPr>
      <w:r>
        <w:rPr>
          <w:rFonts w:hint="eastAsia"/>
          <w:color w:val="000000" w:themeColor="text1"/>
          <w:sz w:val="24"/>
        </w:rPr>
        <w:t>（１）地方自治法施行令第１６７条の４の規定に該当しないこと。</w:t>
      </w:r>
    </w:p>
    <w:p>
      <w:pPr>
        <w:pStyle w:val="0"/>
        <w:ind w:left="480" w:hanging="480" w:hangingChars="200"/>
        <w:rPr>
          <w:rFonts w:hint="default"/>
          <w:color w:val="000000" w:themeColor="text1"/>
          <w:sz w:val="24"/>
        </w:rPr>
      </w:pPr>
      <w:r>
        <w:rPr>
          <w:rFonts w:hint="eastAsia"/>
          <w:color w:val="000000" w:themeColor="text1"/>
          <w:sz w:val="24"/>
        </w:rPr>
        <w:t>（２）下関市物品・役務競争入札参加有資格者名簿の「調査・研究」のうち、「調査・分析」に登録があること。</w:t>
      </w:r>
    </w:p>
    <w:p>
      <w:pPr>
        <w:pStyle w:val="0"/>
        <w:rPr>
          <w:rFonts w:hint="default"/>
          <w:color w:val="000000" w:themeColor="text1"/>
          <w:sz w:val="24"/>
        </w:rPr>
      </w:pPr>
      <w:r>
        <w:rPr>
          <w:rFonts w:hint="eastAsia"/>
          <w:color w:val="000000" w:themeColor="text1"/>
          <w:sz w:val="24"/>
        </w:rPr>
        <w:t>（３）下関市内に本店又は契約締結権のある営業所等を有すること。</w:t>
      </w:r>
    </w:p>
    <w:p>
      <w:pPr>
        <w:pStyle w:val="0"/>
        <w:ind w:left="480" w:hanging="480" w:hangingChars="200"/>
        <w:rPr>
          <w:rFonts w:hint="default"/>
          <w:color w:val="000000" w:themeColor="text1"/>
          <w:sz w:val="24"/>
        </w:rPr>
      </w:pPr>
      <w:r>
        <w:rPr>
          <w:rFonts w:hint="eastAsia"/>
          <w:color w:val="000000" w:themeColor="text1"/>
          <w:sz w:val="24"/>
        </w:rPr>
        <w:t>（４）この公告の日から入札日までの間において、下関市競争入札参加有資格者指名停止等措置要綱に基づく指名停止等の措置を受けていないこと。</w:t>
      </w:r>
    </w:p>
    <w:p>
      <w:pPr>
        <w:pStyle w:val="0"/>
        <w:ind w:left="480" w:hanging="480" w:hangingChars="200"/>
        <w:rPr>
          <w:rFonts w:hint="default"/>
          <w:color w:val="000000" w:themeColor="text1"/>
          <w:sz w:val="24"/>
        </w:rPr>
      </w:pPr>
      <w:r>
        <w:rPr>
          <w:rFonts w:hint="eastAsia"/>
          <w:color w:val="000000" w:themeColor="text1"/>
          <w:sz w:val="24"/>
        </w:rPr>
        <w:t>（５）暴力団員による不当な行為の防止等に関する法律（平成３年法律第７７号）第２条第６号に規定する暴力団員又は同条第２号に規定する暴力団若しくは暴力団員と密接な関係を有する者でないこと。</w:t>
      </w:r>
    </w:p>
    <w:p>
      <w:pPr>
        <w:pStyle w:val="0"/>
        <w:ind w:left="480" w:hanging="480" w:hangingChars="200"/>
        <w:rPr>
          <w:rFonts w:hint="default"/>
          <w:color w:val="000000" w:themeColor="text1"/>
          <w:sz w:val="24"/>
        </w:rPr>
      </w:pPr>
      <w:r>
        <w:rPr>
          <w:rFonts w:hint="eastAsia"/>
          <w:color w:val="000000" w:themeColor="text1"/>
          <w:sz w:val="24"/>
        </w:rPr>
        <w:t>（６）会社更生法（平成１４年法律第１５４号）第１７条の規定による更生手続開始の申立て又は民事再生法（平成１１年法律第２５５号）第２１条の規定による再生手続開始の申立てがなされていない者であること。</w:t>
      </w:r>
    </w:p>
    <w:p>
      <w:pPr>
        <w:pStyle w:val="0"/>
        <w:ind w:left="420" w:leftChars="200" w:firstLine="0" w:firstLineChars="0"/>
        <w:rPr>
          <w:rFonts w:hint="default"/>
          <w:color w:val="000000" w:themeColor="text1"/>
          <w:sz w:val="24"/>
        </w:rPr>
      </w:pPr>
      <w:r>
        <w:rPr>
          <w:rFonts w:hint="eastAsia"/>
          <w:color w:val="000000" w:themeColor="text1"/>
          <w:sz w:val="24"/>
        </w:rPr>
        <w:t>（会社更生法の規定による更生手続開始の申立て又は民事再生法の規定による再生手続開始の申立てがなされた者であっても、更生計画の認可が決定された者又は再生計画の認可の決定が確定された者を除く。）</w:t>
      </w:r>
    </w:p>
    <w:p>
      <w:pPr>
        <w:pStyle w:val="0"/>
        <w:ind w:left="480" w:hanging="480" w:hangingChars="200"/>
        <w:rPr>
          <w:rFonts w:hint="default"/>
          <w:color w:val="000000" w:themeColor="text1"/>
          <w:sz w:val="24"/>
        </w:rPr>
      </w:pPr>
      <w:r>
        <w:rPr>
          <w:rFonts w:hint="eastAsia"/>
          <w:color w:val="000000" w:themeColor="text1"/>
          <w:sz w:val="24"/>
        </w:rPr>
        <w:t>（７）本業務の内容と同種（森林資源解析業務のための樹種界区分図作成）、若しくは類似の業務実績を有し、地方公共団体に対し、引き渡した実績があること。</w:t>
      </w:r>
    </w:p>
    <w:p>
      <w:pPr>
        <w:pStyle w:val="0"/>
        <w:ind w:left="480" w:hanging="480" w:hangingChars="200"/>
        <w:rPr>
          <w:rFonts w:hint="default"/>
          <w:color w:val="000000" w:themeColor="text1"/>
          <w:sz w:val="24"/>
        </w:rPr>
      </w:pPr>
      <w:r>
        <w:rPr>
          <w:rFonts w:hint="eastAsia"/>
          <w:color w:val="000000" w:themeColor="text1"/>
          <w:sz w:val="24"/>
        </w:rPr>
        <w:t>（８）管理技術者は測量法（昭和２４年法律第１８８号）により登録された「測量士」の資格保有者であること。</w:t>
      </w:r>
    </w:p>
    <w:p>
      <w:pPr>
        <w:pStyle w:val="0"/>
        <w:ind w:left="480" w:hanging="480" w:hangingChars="200"/>
        <w:rPr>
          <w:rFonts w:hint="default"/>
          <w:color w:val="000000" w:themeColor="text1"/>
          <w:sz w:val="24"/>
        </w:rPr>
      </w:pPr>
      <w:r>
        <w:rPr>
          <w:rFonts w:hint="eastAsia"/>
          <w:color w:val="000000" w:themeColor="text1"/>
          <w:sz w:val="24"/>
        </w:rPr>
        <w:t>（９）照査技術者は公益社団法人日本測量協会の「空間情報総括管理技術者」の資格保有者とすること。</w:t>
      </w:r>
    </w:p>
    <w:p>
      <w:pPr>
        <w:pStyle w:val="0"/>
        <w:ind w:left="480" w:hanging="480" w:hangingChars="200"/>
        <w:rPr>
          <w:rFonts w:hint="default"/>
          <w:color w:val="000000" w:themeColor="text1"/>
          <w:sz w:val="24"/>
        </w:rPr>
      </w:pPr>
      <w:r>
        <w:rPr>
          <w:rFonts w:hint="eastAsia"/>
          <w:color w:val="000000" w:themeColor="text1"/>
          <w:sz w:val="24"/>
        </w:rPr>
        <w:t>（１０）入札参加資格確認申請手続きにおいて、滞りなく手続きが完了し、入札参加資格を認められていること。</w:t>
      </w:r>
    </w:p>
    <w:p>
      <w:pPr>
        <w:pStyle w:val="0"/>
        <w:ind w:firstLine="480" w:firstLineChars="20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６　申請方法</w:t>
      </w:r>
    </w:p>
    <w:p>
      <w:pPr>
        <w:pStyle w:val="0"/>
        <w:ind w:left="480" w:hanging="480"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「入札参加資格確認申請書」（様式１）を、下関市農林水産振興部農林水産整備課（〒７５０</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０００５　下関市唐戸町４番１号　カラトピア４階）に持参又は下関市役所本庁（〒７５０－８５２１　下関市南部町１番１号）に郵送（提出期限までに必着のこと）すること。</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７　申請書提出期限</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申請書の提出期限は、令和５年６月２８日（水）１７時までとする。</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なお、申請書が不備の場合、又は受付期限を経過した場合は受理しない。</w:t>
      </w:r>
    </w:p>
    <w:p>
      <w:pPr>
        <w:pStyle w:val="0"/>
        <w:ind w:firstLine="240" w:firstLineChars="10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８　入札参加資格の決定</w:t>
      </w:r>
    </w:p>
    <w:p>
      <w:pPr>
        <w:pStyle w:val="0"/>
        <w:ind w:left="240" w:hanging="240"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入札参加資格の審査結果は、「入札参加資格確認通知書」（様式２）により令和</w:t>
      </w:r>
    </w:p>
    <w:p>
      <w:pPr>
        <w:pStyle w:val="0"/>
        <w:ind w:left="210" w:left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５年７月３日（月）までに通知する。</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承認の通知を受けた者は、入札参加資格があるものとする。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９　契約条項を示す日時及び場所</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（１）日　　時　令和５年６月２１日（水）９時から令和５年７月４日（火）</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１７時まで</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（２）備付場所　下関市農林水産振興部農林水産整備課及び下関市ホームページ</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１０　質問の方法</w:t>
      </w:r>
    </w:p>
    <w:p>
      <w:pPr>
        <w:pStyle w:val="0"/>
        <w:ind w:left="480" w:hanging="480"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（１）本業務の参加申込に関する質問は、下関市農林水産振興部農林水産整備課にファクシミリにて提出すること。（ＦＡＸ番号）０８３－２３１－４７８６</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（２）質問の期限は、令和５年６月２８日（水）１７時までとする。</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（３）質問の回答は、後日速やかにファクシミリにより回答する。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１１　入札方法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（１）持参によること。郵便による入札は認めない。</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（２）入札において使用する入札書は、別添様式（様式３）を使用すること。</w:t>
      </w:r>
    </w:p>
    <w:p>
      <w:pPr>
        <w:pStyle w:val="0"/>
        <w:ind w:left="480" w:hanging="480"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落札決定にあたっては、入札書に記載された金額に当該金額の１００分の１０に相当する額を加算した金額を持って落札価格とするので、入札者は、消費税及び地方消費税に係る課税事業者であるか、免税事業者であるかを問わず、見積もった金額の１１０分の１００に相当する金額を入札書に記載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（４）代理人をして入札させるときは、委任状（</w:t>
      </w:r>
      <w:r>
        <w:rPr>
          <w:rFonts w:hint="default" w:asciiTheme="minorEastAsia" w:hAnsiTheme="minorEastAsia" w:eastAsiaTheme="minorEastAsia"/>
          <w:color w:val="000000" w:themeColor="text1"/>
          <w:sz w:val="24"/>
        </w:rPr>
        <w:t>様式</w:t>
      </w:r>
      <w:r>
        <w:rPr>
          <w:rFonts w:hint="eastAsia" w:asciiTheme="minorEastAsia" w:hAnsiTheme="minorEastAsia" w:eastAsiaTheme="minorEastAsia"/>
          <w:color w:val="000000" w:themeColor="text1"/>
          <w:sz w:val="24"/>
        </w:rPr>
        <w:t>４</w:t>
      </w:r>
      <w:r>
        <w:rPr>
          <w:rFonts w:hint="default"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（５）入札会場への入場は、１入札者（個人、法人を問わない）につき、１名までと</w:t>
      </w:r>
    </w:p>
    <w:p>
      <w:pPr>
        <w:pStyle w:val="0"/>
        <w:ind w:firstLine="480" w:firstLine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する。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１２　入札日時等</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（１）入札日時　令和５年７月５日（水）　９時３０分</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（２）入札場所　</w:t>
      </w:r>
      <w:r>
        <w:rPr>
          <w:rFonts w:hint="eastAsia" w:asciiTheme="minorEastAsia" w:hAnsiTheme="minorEastAsia"/>
          <w:sz w:val="24"/>
        </w:rPr>
        <w:t>カラトピア４階倉庫会議室　内</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１３　入札保証金</w:t>
      </w:r>
      <w:r>
        <w:rPr>
          <w:rFonts w:hint="eastAsia" w:asciiTheme="minorEastAsia" w:hAnsiTheme="minorEastAsia" w:eastAsiaTheme="minorEastAsia"/>
          <w:color w:val="000000" w:themeColor="text1"/>
          <w:sz w:val="24"/>
        </w:rPr>
        <w:t xml:space="preserve"> </w:t>
      </w:r>
    </w:p>
    <w:p>
      <w:pPr>
        <w:pStyle w:val="0"/>
        <w:ind w:left="480" w:hanging="480"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下関市契約規則による。</w:t>
      </w:r>
      <w:r>
        <w:rPr>
          <w:rFonts w:hint="eastAsia" w:asciiTheme="minorEastAsia" w:hAnsiTheme="minorEastAsia" w:eastAsiaTheme="minorEastAsia"/>
          <w:color w:val="000000" w:themeColor="text1"/>
          <w:sz w:val="24"/>
        </w:rPr>
        <w:t>納付の要否及び方法等については、「入札参加資格確認通知書」（様式２）と併せて通知する。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１４　契約保証金</w:t>
      </w:r>
    </w:p>
    <w:p>
      <w:pPr>
        <w:pStyle w:val="0"/>
        <w:ind w:left="480" w:hanging="480"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下関市契約規則による。</w:t>
      </w:r>
      <w:r>
        <w:rPr>
          <w:rFonts w:hint="eastAsia" w:asciiTheme="minorEastAsia" w:hAnsiTheme="minorEastAsia" w:eastAsiaTheme="minorEastAsia"/>
          <w:color w:val="000000" w:themeColor="text1"/>
          <w:sz w:val="24"/>
        </w:rPr>
        <w:t>納付の要否及び方法等については、落札者に対して別途通知する。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１５　その他</w:t>
      </w:r>
    </w:p>
    <w:p>
      <w:pPr>
        <w:pStyle w:val="0"/>
        <w:ind w:left="480" w:hanging="480"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（１）入札書等の契約に関する書類の作成に当たっては、消せるボールペンは使用しないこと。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（２）入札参加申請を行った者のうち入札参加資格がないと認められる者は、その通</w:t>
      </w:r>
    </w:p>
    <w:p>
      <w:pPr>
        <w:pStyle w:val="0"/>
        <w:ind w:left="420"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知を受けた日の翌日（休日の場合はその翌日）までに書面を下関市農林水産振興部農林水産整備課に持参することにより、その理由について説明を求めることができる。</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（３）（２）に対する回答は、説明を求めた者に対し、速やかに回答する。</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（４）入札に参加する者に必要な資格のないもの及び虚偽の申請を行った者のした入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札及び関係法令等に定める条件に違反した入札は無効とする。</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（５）入札参加者が入札までに入札条件を満たさなくなったとき、その者のした入札</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は無効とする。</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（６）次に掲げるものの一に該当する入札は無効とする。</w:t>
      </w:r>
      <w:r>
        <w:rPr>
          <w:rFonts w:hint="eastAsia" w:asciiTheme="minorEastAsia" w:hAnsiTheme="minorEastAsia" w:eastAsiaTheme="minorEastAsia"/>
          <w:color w:val="000000" w:themeColor="text1"/>
          <w:sz w:val="24"/>
        </w:rPr>
        <w:t xml:space="preserve"> </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ア　入札者が明確でないもの又は入札価格を判読することができないもの。</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イ　入札者の記名押印のないもの又は住所の記載のないもの。</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ウ　金額を訂正した入札書によるもの。</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エ　委任状を持参しない代理人のしたもの。</w:t>
      </w:r>
    </w:p>
    <w:p>
      <w:pPr>
        <w:pStyle w:val="0"/>
        <w:ind w:firstLine="480" w:firstLine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無権代理人又は１人で２人以上の代理をした者がしたもの。</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カ　入札保証金の納付がないもの又は不足するもの。</w:t>
      </w:r>
      <w:r>
        <w:rPr>
          <w:rFonts w:hint="eastAsia" w:asciiTheme="minorEastAsia" w:hAnsiTheme="minorEastAsia" w:eastAsiaTheme="minorEastAsia"/>
          <w:color w:val="000000" w:themeColor="text1"/>
          <w:sz w:val="24"/>
        </w:rPr>
        <w:t xml:space="preserve"> </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（７）入札において、事故が起きたときや不正な行為があると認められたときは入札</w:t>
      </w:r>
    </w:p>
    <w:p>
      <w:pPr>
        <w:pStyle w:val="0"/>
        <w:ind w:firstLine="480" w:firstLine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を中止し、又は延期する場合がある。</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（８）落札者が契約までに入札条件を満たさなくなったとき、又は指名停止措置を受</w:t>
      </w:r>
    </w:p>
    <w:p>
      <w:pPr>
        <w:pStyle w:val="0"/>
        <w:ind w:firstLine="480" w:firstLine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けたときは、落札決定を取り消し、契約を締結しない。</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（９）入札参加資格確認申請に係る費用は全て申請者の負担とする。なお、入札参加</w:t>
      </w:r>
    </w:p>
    <w:p>
      <w:pPr>
        <w:pStyle w:val="0"/>
        <w:ind w:firstLine="480" w:firstLine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資格の有無に関わらず、申請書類等は返却しない。</w:t>
      </w:r>
    </w:p>
    <w:p>
      <w:pPr>
        <w:pStyle w:val="0"/>
        <w:ind w:left="480" w:hanging="480" w:hangingChars="20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以　上</w:t>
      </w:r>
    </w:p>
    <w:sectPr>
      <w:pgSz w:w="11906" w:h="16838"/>
      <w:pgMar w:top="1418" w:right="1418" w:bottom="1418" w:left="1418" w:header="567" w:footer="567" w:gutter="0"/>
      <w:cols w:space="720"/>
      <w:noEndnote w:val="1"/>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4"/>
    <w:uiPriority w:val="0"/>
    <w:qFormat/>
    <w:pPr>
      <w:keepNext w:val="1"/>
      <w:outlineLvl w:val="0"/>
    </w:pPr>
    <w:rPr>
      <w:rFonts w:asciiTheme="majorHAnsi" w:hAnsiTheme="majorHAnsi" w:eastAsiaTheme="majorEastAsia"/>
      <w:sz w:val="24"/>
    </w:rPr>
  </w:style>
  <w:style w:type="paragraph" w:styleId="2">
    <w:name w:val="heading 2"/>
    <w:basedOn w:val="0"/>
    <w:next w:val="0"/>
    <w:link w:val="35"/>
    <w:uiPriority w:val="0"/>
    <w:qFormat/>
    <w:pPr>
      <w:keepNext w:val="1"/>
      <w:outlineLvl w:val="1"/>
    </w:pPr>
    <w:rPr>
      <w:rFonts w:asciiTheme="majorHAnsi" w:hAnsiTheme="majorHAnsi" w:eastAsiaTheme="majorEastAsia"/>
    </w:rPr>
  </w:style>
  <w:style w:type="paragraph" w:styleId="3">
    <w:name w:val="heading 3"/>
    <w:basedOn w:val="0"/>
    <w:next w:val="0"/>
    <w:link w:val="36"/>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7"/>
    <w:uiPriority w:val="0"/>
    <w:qFormat/>
    <w:pPr>
      <w:keepNext w:val="1"/>
      <w:ind w:left="400" w:leftChars="400"/>
      <w:outlineLvl w:val="3"/>
    </w:pPr>
    <w:rPr>
      <w:b w:val="1"/>
    </w:rPr>
  </w:style>
  <w:style w:type="paragraph" w:styleId="5">
    <w:name w:val="heading 5"/>
    <w:basedOn w:val="0"/>
    <w:next w:val="0"/>
    <w:link w:val="38"/>
    <w:uiPriority w:val="0"/>
    <w:qFormat/>
    <w:pPr>
      <w:keepNext w:val="1"/>
      <w:ind w:left="800" w:leftChars="800"/>
      <w:outlineLvl w:val="4"/>
    </w:pPr>
    <w:rPr>
      <w:rFonts w:asciiTheme="majorHAnsi" w:hAnsiTheme="majorHAnsi" w:eastAsiaTheme="majorEastAsia"/>
    </w:rPr>
  </w:style>
  <w:style w:type="paragraph" w:styleId="6">
    <w:name w:val="heading 6"/>
    <w:basedOn w:val="0"/>
    <w:next w:val="0"/>
    <w:link w:val="39"/>
    <w:uiPriority w:val="0"/>
    <w:qFormat/>
    <w:pPr>
      <w:keepNext w:val="1"/>
      <w:ind w:left="800" w:leftChars="800"/>
      <w:outlineLvl w:val="5"/>
    </w:pPr>
    <w:rPr>
      <w:b w:val="1"/>
    </w:rPr>
  </w:style>
  <w:style w:type="paragraph" w:styleId="7">
    <w:name w:val="heading 7"/>
    <w:basedOn w:val="0"/>
    <w:next w:val="0"/>
    <w:link w:val="40"/>
    <w:uiPriority w:val="0"/>
    <w:qFormat/>
    <w:pPr>
      <w:keepNext w:val="1"/>
      <w:ind w:left="800" w:leftChars="800"/>
      <w:outlineLvl w:val="6"/>
    </w:pPr>
  </w:style>
  <w:style w:type="paragraph" w:styleId="8">
    <w:name w:val="heading 8"/>
    <w:basedOn w:val="0"/>
    <w:next w:val="0"/>
    <w:link w:val="41"/>
    <w:uiPriority w:val="0"/>
    <w:qFormat/>
    <w:pPr>
      <w:keepNext w:val="1"/>
      <w:ind w:left="1200" w:leftChars="1200"/>
      <w:outlineLvl w:val="7"/>
    </w:pPr>
  </w:style>
  <w:style w:type="paragraph" w:styleId="9">
    <w:name w:val="heading 9"/>
    <w:basedOn w:val="0"/>
    <w:next w:val="0"/>
    <w:link w:val="42"/>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paragraph" w:styleId="19">
    <w:name w:val="Date"/>
    <w:basedOn w:val="0"/>
    <w:next w:val="0"/>
    <w:link w:val="20"/>
    <w:uiPriority w:val="0"/>
  </w:style>
  <w:style w:type="character" w:styleId="20" w:customStyle="1">
    <w:name w:val="日付 (文字)"/>
    <w:basedOn w:val="10"/>
    <w:next w:val="20"/>
    <w:link w:val="19"/>
    <w:uiPriority w:val="0"/>
    <w:rPr>
      <w:kern w:val="2"/>
      <w:sz w:val="21"/>
    </w:rPr>
  </w:style>
  <w:style w:type="paragraph" w:styleId="21">
    <w:name w:val="Note Heading"/>
    <w:basedOn w:val="0"/>
    <w:next w:val="0"/>
    <w:link w:val="22"/>
    <w:uiPriority w:val="0"/>
    <w:pPr>
      <w:jc w:val="center"/>
    </w:pPr>
    <w:rPr>
      <w:rFonts w:asciiTheme="majorHAnsi" w:hAnsiTheme="majorHAnsi"/>
      <w:sz w:val="24"/>
    </w:rPr>
  </w:style>
  <w:style w:type="character" w:styleId="22" w:customStyle="1">
    <w:name w:val="記 (文字)"/>
    <w:basedOn w:val="10"/>
    <w:next w:val="22"/>
    <w:link w:val="21"/>
    <w:uiPriority w:val="0"/>
    <w:rPr>
      <w:rFonts w:asciiTheme="majorHAnsi" w:hAnsiTheme="majorHAnsi"/>
      <w:kern w:val="2"/>
      <w:sz w:val="24"/>
    </w:rPr>
  </w:style>
  <w:style w:type="paragraph" w:styleId="23">
    <w:name w:val="Closing"/>
    <w:basedOn w:val="0"/>
    <w:next w:val="23"/>
    <w:link w:val="24"/>
    <w:uiPriority w:val="0"/>
    <w:pPr>
      <w:jc w:val="right"/>
    </w:pPr>
    <w:rPr>
      <w:rFonts w:asciiTheme="majorHAnsi" w:hAnsiTheme="majorHAnsi"/>
      <w:sz w:val="24"/>
    </w:rPr>
  </w:style>
  <w:style w:type="character" w:styleId="24" w:customStyle="1">
    <w:name w:val="結語 (文字)"/>
    <w:basedOn w:val="10"/>
    <w:next w:val="24"/>
    <w:link w:val="23"/>
    <w:uiPriority w:val="0"/>
    <w:rPr>
      <w:rFonts w:asciiTheme="majorHAnsi" w:hAnsiTheme="majorHAnsi"/>
      <w:kern w:val="2"/>
      <w:sz w:val="24"/>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kern w:val="2"/>
      <w:sz w:val="21"/>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kern w:val="2"/>
      <w:sz w:val="21"/>
    </w:rPr>
  </w:style>
  <w:style w:type="paragraph" w:styleId="32">
    <w:name w:val="List Paragraph"/>
    <w:basedOn w:val="0"/>
    <w:next w:val="32"/>
    <w:link w:val="0"/>
    <w:uiPriority w:val="0"/>
    <w:qFormat/>
    <w:pPr>
      <w:ind w:left="840" w:leftChars="400"/>
    </w:pPr>
  </w:style>
  <w:style w:type="character" w:styleId="33">
    <w:name w:val="HTML Typewriter"/>
    <w:basedOn w:val="10"/>
    <w:next w:val="33"/>
    <w:link w:val="0"/>
    <w:uiPriority w:val="0"/>
    <w:rPr>
      <w:rFonts w:ascii="ＭＳ ゴシック" w:hAnsi="ＭＳ ゴシック" w:eastAsia="ＭＳ ゴシック"/>
      <w:sz w:val="24"/>
    </w:rPr>
  </w:style>
  <w:style w:type="character" w:styleId="34" w:customStyle="1">
    <w:name w:val="見出し 1 (文字)"/>
    <w:basedOn w:val="10"/>
    <w:next w:val="34"/>
    <w:link w:val="1"/>
    <w:uiPriority w:val="0"/>
    <w:rPr>
      <w:rFonts w:asciiTheme="majorHAnsi" w:hAnsiTheme="majorHAnsi" w:eastAsiaTheme="majorEastAsia"/>
      <w:kern w:val="2"/>
      <w:sz w:val="24"/>
    </w:rPr>
  </w:style>
  <w:style w:type="character" w:styleId="35" w:customStyle="1">
    <w:name w:val="見出し 2 (文字)"/>
    <w:basedOn w:val="10"/>
    <w:next w:val="35"/>
    <w:link w:val="2"/>
    <w:uiPriority w:val="0"/>
    <w:rPr>
      <w:rFonts w:asciiTheme="majorHAnsi" w:hAnsiTheme="majorHAnsi" w:eastAsiaTheme="majorEastAsia"/>
      <w:kern w:val="2"/>
      <w:sz w:val="21"/>
    </w:rPr>
  </w:style>
  <w:style w:type="character" w:styleId="36" w:customStyle="1">
    <w:name w:val="見出し 3 (文字)"/>
    <w:basedOn w:val="10"/>
    <w:next w:val="36"/>
    <w:link w:val="3"/>
    <w:uiPriority w:val="0"/>
    <w:rPr>
      <w:rFonts w:asciiTheme="majorHAnsi" w:hAnsiTheme="majorHAnsi" w:eastAsiaTheme="majorEastAsia"/>
      <w:kern w:val="2"/>
      <w:sz w:val="21"/>
    </w:rPr>
  </w:style>
  <w:style w:type="character" w:styleId="37" w:customStyle="1">
    <w:name w:val="見出し 4 (文字)"/>
    <w:basedOn w:val="10"/>
    <w:next w:val="37"/>
    <w:link w:val="4"/>
    <w:uiPriority w:val="0"/>
    <w:rPr>
      <w:b w:val="1"/>
      <w:kern w:val="2"/>
      <w:sz w:val="21"/>
    </w:rPr>
  </w:style>
  <w:style w:type="character" w:styleId="38" w:customStyle="1">
    <w:name w:val="見出し 5 (文字)"/>
    <w:basedOn w:val="10"/>
    <w:next w:val="38"/>
    <w:link w:val="5"/>
    <w:uiPriority w:val="0"/>
    <w:rPr>
      <w:rFonts w:asciiTheme="majorHAnsi" w:hAnsiTheme="majorHAnsi" w:eastAsiaTheme="majorEastAsia"/>
      <w:kern w:val="2"/>
      <w:sz w:val="21"/>
    </w:rPr>
  </w:style>
  <w:style w:type="character" w:styleId="39" w:customStyle="1">
    <w:name w:val="見出し 6 (文字)"/>
    <w:basedOn w:val="10"/>
    <w:next w:val="39"/>
    <w:link w:val="6"/>
    <w:uiPriority w:val="0"/>
    <w:rPr>
      <w:b w:val="1"/>
      <w:kern w:val="2"/>
      <w:sz w:val="21"/>
    </w:rPr>
  </w:style>
  <w:style w:type="character" w:styleId="40" w:customStyle="1">
    <w:name w:val="見出し 7 (文字)"/>
    <w:basedOn w:val="10"/>
    <w:next w:val="40"/>
    <w:link w:val="7"/>
    <w:uiPriority w:val="0"/>
    <w:rPr>
      <w:kern w:val="2"/>
      <w:sz w:val="21"/>
    </w:rPr>
  </w:style>
  <w:style w:type="character" w:styleId="41" w:customStyle="1">
    <w:name w:val="見出し 8 (文字)"/>
    <w:basedOn w:val="10"/>
    <w:next w:val="41"/>
    <w:link w:val="8"/>
    <w:uiPriority w:val="0"/>
    <w:rPr>
      <w:kern w:val="2"/>
      <w:sz w:val="21"/>
    </w:rPr>
  </w:style>
  <w:style w:type="character" w:styleId="42" w:customStyle="1">
    <w:name w:val="見出し 9 (文字)"/>
    <w:basedOn w:val="10"/>
    <w:next w:val="42"/>
    <w:link w:val="9"/>
    <w:uiPriority w:val="0"/>
    <w:rPr>
      <w:kern w:val="2"/>
      <w:sz w:val="21"/>
    </w:rPr>
  </w:style>
  <w:style w:type="character" w:styleId="43">
    <w:name w:val="Emphasis"/>
    <w:basedOn w:val="10"/>
    <w:next w:val="43"/>
    <w:link w:val="0"/>
    <w:uiPriority w:val="0"/>
    <w:qFormat/>
    <w:rPr>
      <w:b w:val="1"/>
    </w:rPr>
  </w:style>
  <w:style w:type="character" w:styleId="44" w:customStyle="1">
    <w:name w:val="st1"/>
    <w:basedOn w:val="10"/>
    <w:next w:val="44"/>
    <w:link w:val="0"/>
    <w:uiPriority w:val="0"/>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768</TotalTime>
  <Pages>3</Pages>
  <Words>2</Words>
  <Characters>2519</Characters>
  <Application>JUST Note</Application>
  <Lines>120</Lines>
  <Paragraphs>76</Paragraphs>
  <Company>下関市</Company>
  <CharactersWithSpaces>2624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a150700</cp:lastModifiedBy>
  <cp:lastPrinted>2023-06-18T23:58:36Z</cp:lastPrinted>
  <dcterms:created xsi:type="dcterms:W3CDTF">2013-03-04T00:09:00Z</dcterms:created>
  <dcterms:modified xsi:type="dcterms:W3CDTF">2023-06-19T00:00:30Z</dcterms:modified>
  <cp:revision>112</cp:revision>
</cp:coreProperties>
</file>