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（様式６）</w:t>
      </w: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事　業　計　画　書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１　</w:t>
      </w:r>
      <w:r>
        <w:rPr>
          <w:rFonts w:hint="eastAsia" w:ascii="ＭＳ ゴシック" w:hAnsi="ＭＳ ゴシック" w:eastAsia="ＭＳ ゴシック"/>
          <w:kern w:val="0"/>
          <w:sz w:val="24"/>
        </w:rPr>
        <w:t>開所日数及び開所時間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(1)</w:t>
      </w:r>
      <w:r>
        <w:rPr>
          <w:rFonts w:hint="eastAsia" w:ascii="ＭＳ 明朝" w:hAnsi="ＭＳ 明朝" w:eastAsia="ＭＳ 明朝"/>
          <w:sz w:val="24"/>
        </w:rPr>
        <w:t>開所日数　週　　　　　日運営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(2)</w:t>
      </w:r>
      <w:r>
        <w:rPr>
          <w:rFonts w:hint="eastAsia" w:ascii="ＭＳ 明朝" w:hAnsi="ＭＳ 明朝" w:eastAsia="ＭＳ 明朝"/>
          <w:sz w:val="24"/>
        </w:rPr>
        <w:t>開所時間</w:t>
      </w:r>
    </w:p>
    <w:p>
      <w:pPr>
        <w:pStyle w:val="0"/>
        <w:ind w:firstLine="600" w:firstLine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ア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学校の授業の休業日以外の日</w:t>
      </w:r>
    </w:p>
    <w:p>
      <w:pPr>
        <w:pStyle w:val="0"/>
        <w:ind w:firstLine="1680" w:firstLineChars="7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曜日　　　　時　　　分から　　　時　　　分まで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　　　　曜日　　　　時　　　分から　　　時　　　分まで</w:t>
      </w:r>
    </w:p>
    <w:p>
      <w:pPr>
        <w:pStyle w:val="0"/>
        <w:ind w:firstLine="600" w:firstLineChars="25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600" w:firstLine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イ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学校の授業の休業日（長期休業期間等）</w:t>
      </w:r>
    </w:p>
    <w:p>
      <w:pPr>
        <w:pStyle w:val="0"/>
        <w:ind w:firstLine="1680" w:firstLineChars="7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曜日　　　　時　　　分から　　　時　　　分まで</w:t>
      </w: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eastAsia" w:ascii="ＭＳ ゴシック" w:hAnsi="ＭＳ ゴシック" w:eastAsia="ＭＳ ゴシック"/>
          <w:strike w:val="0"/>
          <w:color w:val="000000"/>
          <w:sz w:val="21"/>
          <w:u w:val="none" w:color="auto"/>
        </w:rPr>
      </w:pPr>
      <w:r>
        <w:rPr>
          <w:rFonts w:hint="eastAsia" w:ascii="ＭＳ ゴシック" w:hAnsi="ＭＳ ゴシック" w:eastAsia="ＭＳ ゴシック"/>
        </w:rPr>
        <w:t>２　</w:t>
      </w:r>
      <w:r>
        <w:rPr>
          <w:rFonts w:hint="eastAsia" w:ascii="ＭＳ ゴシック" w:hAnsi="ＭＳ ゴシック" w:eastAsia="ＭＳ ゴシック"/>
          <w:kern w:val="0"/>
          <w:sz w:val="24"/>
        </w:rPr>
        <w:t>支援対象校区</w:t>
      </w:r>
    </w:p>
    <w:p>
      <w:pPr>
        <w:pStyle w:val="0"/>
        <w:autoSpaceDE w:val="0"/>
        <w:autoSpaceDN w:val="0"/>
        <w:adjustRightInd w:val="0"/>
        <w:ind w:firstLine="210" w:firstLineChars="100"/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>　</w:t>
      </w: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 xml:space="preserve"> </w:t>
      </w: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>　</w:t>
      </w: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中校区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・　　　　小校区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小校区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小校区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ind w:firstLine="210" w:firstLineChars="100"/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>　</w:t>
      </w: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 xml:space="preserve"> </w:t>
      </w: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>　</w:t>
      </w: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中校区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・　　　　小校区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小校区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小校区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ind w:firstLine="210" w:firstLineChars="100"/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>　</w:t>
      </w: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 xml:space="preserve"> </w:t>
      </w: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>　</w:t>
      </w: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中校区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・　　　　小校区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小校区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小校区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eastAsia" w:ascii="ＭＳ ゴシック" w:hAnsi="ＭＳ ゴシック" w:eastAsia="ＭＳ ゴシック"/>
          <w:kern w:val="0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３　</w:t>
      </w:r>
      <w:r>
        <w:rPr>
          <w:rFonts w:hint="eastAsia" w:ascii="ＭＳ ゴシック" w:hAnsi="ＭＳ ゴシック" w:eastAsia="ＭＳ ゴシック"/>
          <w:kern w:val="0"/>
          <w:sz w:val="24"/>
        </w:rPr>
        <w:t>実施施設の名称、種類及び所在地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pacing w:val="54"/>
          <w:sz w:val="24"/>
          <w:fitText w:val="1638" w:id="1"/>
        </w:rPr>
        <w:t>施設の名</w:t>
      </w:r>
      <w:r>
        <w:rPr>
          <w:rFonts w:hint="eastAsia" w:ascii="ＭＳ 明朝" w:hAnsi="ＭＳ 明朝" w:eastAsia="ＭＳ 明朝"/>
          <w:spacing w:val="3"/>
          <w:sz w:val="24"/>
          <w:fitText w:val="1638" w:id="1"/>
        </w:rPr>
        <w:t>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54"/>
          <w:sz w:val="24"/>
          <w:fitText w:val="1638" w:id="2"/>
        </w:rPr>
        <w:t>施設の種</w:t>
      </w:r>
      <w:r>
        <w:rPr>
          <w:rFonts w:hint="eastAsia" w:ascii="ＭＳ 明朝" w:hAnsi="ＭＳ 明朝" w:eastAsia="ＭＳ 明朝"/>
          <w:spacing w:val="3"/>
          <w:sz w:val="24"/>
          <w:fitText w:val="1638" w:id="2"/>
        </w:rPr>
        <w:t>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施設の所在地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建物その他設備の規模及び構造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専用区画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㎡、そ　の　他　　　　㎡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建物の構造　</w:t>
      </w:r>
      <w:r>
        <w:rPr>
          <w:rFonts w:hint="eastAsia" w:ascii="ＭＳ 明朝" w:hAnsi="ＭＳ 明朝" w:eastAsia="ＭＳ 明朝"/>
          <w:sz w:val="24"/>
        </w:rPr>
        <w:t xml:space="preserve">     </w:t>
      </w:r>
      <w:r>
        <w:rPr>
          <w:rFonts w:hint="eastAsia" w:ascii="ＭＳ 明朝" w:hAnsi="ＭＳ 明朝" w:eastAsia="ＭＳ 明朝"/>
          <w:sz w:val="24"/>
        </w:rPr>
        <w:t>造、建物の階数　</w:t>
      </w: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階建の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階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４　加算事業の実施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）～（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）の業務に加えて、以下の業務を実施します。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送迎支援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　　□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賃借料補助加算</w:t>
      </w:r>
    </w:p>
    <w:p>
      <w:pPr>
        <w:pStyle w:val="0"/>
        <w:ind w:firstLine="480" w:firstLineChars="200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□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開設準備経費（改修費等）</w:t>
      </w:r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19050</wp:posOffset>
                </wp:positionV>
                <wp:extent cx="5029200" cy="16192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0292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Chars="0" w:firstLine="0" w:firstLineChars="0"/>
                              <w:jc w:val="left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）安全・安心な居場所の提供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jc w:val="left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）生活習慣の形成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jc w:val="left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）学習の支援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jc w:val="left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）食事の提供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jc w:val="left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）課外活動の提供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jc w:val="left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）学校、医療機関、地域団体等の関係機関との連携及び関係構築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）保護者への情報提供、相談支援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;mso-wrap-distance-left:16pt;width:396pt;height:127.5pt;mso-position-horizontal-relative:text;position:absolute;margin-left:9.1pt;margin-top:1.5pt;mso-wrap-distance-bottom:0pt;mso-wrap-distance-right:16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Chars="0" w:firstLine="0" w:firstLineChars="0"/>
                        <w:jc w:val="left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（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1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）安全・安心な居場所の提供</w:t>
                      </w:r>
                    </w:p>
                    <w:p>
                      <w:pPr>
                        <w:pStyle w:val="0"/>
                        <w:ind w:leftChars="0" w:firstLine="0" w:firstLineChars="0"/>
                        <w:jc w:val="left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（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2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）生活習慣の形成</w:t>
                      </w:r>
                    </w:p>
                    <w:p>
                      <w:pPr>
                        <w:pStyle w:val="0"/>
                        <w:ind w:leftChars="0" w:firstLine="0" w:firstLineChars="0"/>
                        <w:jc w:val="left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（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3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）学習の支援</w:t>
                      </w:r>
                    </w:p>
                    <w:p>
                      <w:pPr>
                        <w:pStyle w:val="0"/>
                        <w:ind w:leftChars="0" w:firstLine="0" w:firstLineChars="0"/>
                        <w:jc w:val="left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（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4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）食事の提供</w:t>
                      </w:r>
                    </w:p>
                    <w:p>
                      <w:pPr>
                        <w:pStyle w:val="0"/>
                        <w:ind w:leftChars="0" w:firstLine="0" w:firstLineChars="0"/>
                        <w:jc w:val="left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（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5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）課外活動の提供</w:t>
                      </w:r>
                    </w:p>
                    <w:p>
                      <w:pPr>
                        <w:pStyle w:val="0"/>
                        <w:ind w:leftChars="0" w:firstLine="0" w:firstLineChars="0"/>
                        <w:jc w:val="left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（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6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）学校、医療機関、地域団体等の関係機関との連携及び関係構築</w:t>
                      </w:r>
                    </w:p>
                    <w:p>
                      <w:pPr>
                        <w:pStyle w:val="0"/>
                        <w:ind w:leftChars="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（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7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）保護者への情報提供、相談支援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420" w:firstLineChars="200"/>
        <w:rPr>
          <w:rFonts w:hint="eastAsia"/>
        </w:rPr>
      </w:pPr>
    </w:p>
    <w:p>
      <w:pPr>
        <w:pStyle w:val="0"/>
        <w:ind w:firstLine="420" w:firstLineChars="200"/>
        <w:rPr>
          <w:rFonts w:hint="eastAsia"/>
        </w:rPr>
      </w:pPr>
    </w:p>
    <w:p>
      <w:pPr>
        <w:pStyle w:val="0"/>
        <w:ind w:firstLine="420" w:firstLineChars="200"/>
        <w:rPr>
          <w:rFonts w:hint="eastAsia"/>
        </w:rPr>
      </w:pPr>
    </w:p>
    <w:p>
      <w:pPr>
        <w:pStyle w:val="0"/>
        <w:ind w:firstLine="420" w:firstLineChars="200"/>
        <w:rPr>
          <w:rFonts w:hint="eastAsia"/>
        </w:rPr>
      </w:pPr>
    </w:p>
    <w:p>
      <w:pPr>
        <w:pStyle w:val="0"/>
        <w:ind w:firstLine="420" w:firstLineChars="200"/>
        <w:rPr>
          <w:rFonts w:hint="eastAsia"/>
        </w:rPr>
      </w:pPr>
    </w:p>
    <w:p>
      <w:pPr>
        <w:pStyle w:val="0"/>
        <w:ind w:firstLine="420" w:firstLineChars="200"/>
        <w:rPr>
          <w:rFonts w:hint="eastAsia"/>
        </w:rPr>
      </w:pPr>
    </w:p>
    <w:p>
      <w:pPr>
        <w:pStyle w:val="0"/>
        <w:rPr>
          <w:rFonts w:hint="eastAsia"/>
          <w:bdr w:val="single" w:color="auto" w:sz="4" w:space="0"/>
        </w:rPr>
      </w:pPr>
      <w:r>
        <w:rPr>
          <w:rFonts w:hint="eastAsia" w:ascii="ＭＳ 明朝" w:hAnsi="ＭＳ 明朝" w:eastAsia="ＭＳ 明朝"/>
          <w:sz w:val="24"/>
          <w:bdr w:val="single" w:color="auto" w:sz="4" w:space="0"/>
        </w:rPr>
        <w:t>作成要領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以下の番号は、事業計画書（様式７）の項目番号に対応しています。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１．開所日数及び開所時間について</w:t>
      </w:r>
    </w:p>
    <w:p>
      <w:pPr>
        <w:pStyle w:val="0"/>
        <w:ind w:left="0" w:leftChars="0"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１週間のうち、専任職員を１人以上配置し、かつ以下の開所時間の実施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要件を満たす開所日数及び曜日・開所時間を記載してください。</w:t>
      </w:r>
    </w:p>
    <w:p>
      <w:pPr>
        <w:pStyle w:val="0"/>
        <w:autoSpaceDE w:val="0"/>
        <w:autoSpaceDN w:val="0"/>
        <w:adjustRightInd w:val="0"/>
        <w:ind w:left="0" w:leftChars="0" w:hanging="237" w:hangingChars="100"/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180975</wp:posOffset>
                </wp:positionV>
                <wp:extent cx="5372100" cy="9429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372100" cy="9429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16pt;width:423pt;height:74.25pt;mso-position-horizontal-relative:text;position:absolute;margin-left:7.1pt;margin-top:14.25pt;mso-wrap-distance-bottom:0pt;mso-wrap-distance-right:16pt;mso-wrap-distance-top:0pt;" o:spid="_x0000_s1027" o:allowincell="t" o:allowoverlap="t" filled="f" stroked="t" strokecolor="#000000 [3200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</w:p>
    <w:p>
      <w:pPr>
        <w:pStyle w:val="0"/>
        <w:autoSpaceDE w:val="0"/>
        <w:autoSpaceDN w:val="0"/>
        <w:adjustRightInd w:val="0"/>
        <w:ind w:left="210" w:leftChars="100" w:firstLine="240" w:firstLineChars="100"/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①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学校の授業の休業日（長期休暇期間等）に行う事業１日につき、８時間（原則１０時～１８時）</w:t>
      </w:r>
    </w:p>
    <w:p>
      <w:pPr>
        <w:pStyle w:val="0"/>
        <w:ind w:left="420" w:leftChars="20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②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学校の授業の休業日以外の日（平日）に行う事業１日につき、学校の授業の終了後から原則１８時以降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 xml:space="preserve"> 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10" w:leftChars="10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例えば、月曜日から木曜日を１３：００～１９：００の時間帯で開所し、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土曜日は１０：００～１８：００、日曜日は１５：００～１８：００の時間で開所している場合は、日曜日は開所日数には含めず、週５日開所し、児童育成支援拠点事業を運営することになります。</w:t>
      </w:r>
    </w:p>
    <w:p>
      <w:pPr>
        <w:pStyle w:val="0"/>
        <w:ind w:left="210" w:leftChars="10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また、職員の配置にかかる実施要件を満たせない時間帯がある場合は、開所時間に含めることはできません。</w:t>
      </w:r>
    </w:p>
    <w:p>
      <w:pPr>
        <w:pStyle w:val="0"/>
        <w:ind w:left="210" w:leftChars="10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例えば、週５日開所するものの、非常勤職員しか配置出来ない日が週に１日ある場合は、その１日は開所日数には含めることはできず、週４日開所ということになります。</w:t>
      </w:r>
    </w:p>
    <w:p>
      <w:pPr>
        <w:pStyle w:val="0"/>
        <w:ind w:left="210" w:leftChars="10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上記の条件を満たす日が週３日未満の場合、事業を委託することができませんのでご注意ください。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２．支援対象校区について</w:t>
      </w:r>
    </w:p>
    <w:p>
      <w:pPr>
        <w:pStyle w:val="0"/>
        <w:ind w:left="210" w:leftChars="100"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原則として、下関市支所設置条例（平成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年条例第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号）に規定する川中支所管内を除く市内に拠点を設置し、少なくとも１つの中学校の通学区域内の小・中学生を支援対象としてください。</w:t>
      </w:r>
    </w:p>
    <w:p>
      <w:pPr>
        <w:pStyle w:val="0"/>
        <w:ind w:left="210" w:leftChars="100" w:firstLine="240" w:firstLineChars="1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ただし、川中支所管内に拠点を設置する場合で、川中支所管内以外の１中学校区の学齢期以降の児童を支援対象とする場合においても、提案できるものとします。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</w:p>
    <w:p>
      <w:pPr>
        <w:pStyle w:val="0"/>
        <w:ind w:left="210" w:leftChars="100" w:firstLine="240" w:firstLineChars="1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下関市内の校区につきましては、次頁を参考にしてください。</w:t>
      </w:r>
    </w:p>
    <w:p>
      <w:pPr>
        <w:pStyle w:val="0"/>
        <w:ind w:left="660" w:leftChars="200" w:hanging="240" w:hangingChars="1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（</w:t>
      </w:r>
      <w:r>
        <w:rPr>
          <w:rFonts w:hint="eastAsia" w:ascii="ＭＳ 明朝" w:hAnsi="ＭＳ 明朝" w:eastAsia="ＭＳ 明朝"/>
          <w:sz w:val="24"/>
        </w:rPr>
        <w:t>令和７年度　児童育成支援拠点事業運営業務に係る公募型プロポーザル実施要領２（２）に規定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　【参考】下関市内の小・中学校区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</w:pPr>
      <w:r>
        <w:rPr>
          <w:rFonts w:hint="eastAsia"/>
        </w:rPr>
        <w:drawing>
          <wp:anchor distT="0" distB="0" distL="203200" distR="203200" simplePos="0" relativeHeight="3" behindDoc="1" locked="0" layoutInCell="1" hidden="0" allowOverlap="1">
            <wp:simplePos x="0" y="0"/>
            <wp:positionH relativeFrom="column">
              <wp:posOffset>534035</wp:posOffset>
            </wp:positionH>
            <wp:positionV relativeFrom="paragraph">
              <wp:posOffset>74295</wp:posOffset>
            </wp:positionV>
            <wp:extent cx="4427220" cy="6651625"/>
            <wp:effectExtent l="0" t="0" r="0" b="0"/>
            <wp:wrapTight wrapText="bothSides">
              <wp:wrapPolygon>
                <wp:start x="0" y="0"/>
                <wp:lineTo x="0" y="8467"/>
                <wp:lineTo x="11488" y="8984"/>
                <wp:lineTo x="0" y="9331"/>
                <wp:lineTo x="0" y="20606"/>
                <wp:lineTo x="11488" y="20736"/>
                <wp:lineTo x="11488" y="21513"/>
                <wp:lineTo x="21482" y="21513"/>
                <wp:lineTo x="21482" y="0"/>
                <wp:lineTo x="0" y="0"/>
              </wp:wrapPolygon>
            </wp:wrapTight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665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３．職員の定数及び職務の内容について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業務に従事する職員の総数ではなく、開所日における配置人数を記載してください。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４．加算事業の実施について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令和７年度に実施する予定の加算事業に✔を入れてください。</w:t>
      </w:r>
    </w:p>
    <w:sectPr>
      <w:pgSz w:w="11906" w:h="16838"/>
      <w:pgMar w:top="1445" w:right="1701" w:bottom="99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3</Pages>
  <Words>13</Words>
  <Characters>1240</Characters>
  <Application>JUST Note</Application>
  <Lines>124</Lines>
  <Paragraphs>56</Paragraphs>
  <Company>下関市</Company>
  <CharactersWithSpaces>1430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迫田　岳志</dc:creator>
  <cp:lastModifiedBy>迫田　岳志</cp:lastModifiedBy>
  <cp:lastPrinted>2025-06-06T02:55:53Z</cp:lastPrinted>
  <dcterms:created xsi:type="dcterms:W3CDTF">2025-06-02T10:45:00Z</dcterms:created>
  <dcterms:modified xsi:type="dcterms:W3CDTF">2025-06-05T23:28:58Z</dcterms:modified>
  <cp:revision>9</cp:revision>
</cp:coreProperties>
</file>