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業務実績調書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・過去５年間における同種・同類の業務実績をご記入ください。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・参加資格を確認するものですので、過去５</w:t>
      </w:r>
      <w:bookmarkStart w:id="0" w:name="_GoBack"/>
      <w:bookmarkEnd w:id="0"/>
      <w:r>
        <w:rPr>
          <w:rFonts w:hint="eastAsia"/>
        </w:rPr>
        <w:t>年間すべての業務実績を記入する必要はありません。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4"/>
      </w:rPr>
    </w:pPr>
    <w:r>
      <w:rPr>
        <w:rFonts w:hint="eastAsia"/>
        <w:sz w:val="24"/>
      </w:rPr>
      <w:t>（様式第３号）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152</Characters>
  <Application>JUST Note</Application>
  <Lines>40</Lines>
  <Paragraphs>12</Paragraphs>
  <Company>下関市</Company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河谷　智</cp:lastModifiedBy>
  <cp:lastPrinted>2020-06-26T02:50:00Z</cp:lastPrinted>
  <dcterms:created xsi:type="dcterms:W3CDTF">2019-05-10T05:22:00Z</dcterms:created>
  <dcterms:modified xsi:type="dcterms:W3CDTF">2026-04-24T05:58:07Z</dcterms:modified>
  <cp:revision>14</cp:revision>
</cp:coreProperties>
</file>