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1"/>
          <w:bdr w:val="single" w:color="auto" w:sz="4" w:space="0"/>
        </w:rPr>
      </w:pPr>
      <w:r>
        <w:rPr>
          <w:rFonts w:hint="eastAsia"/>
          <w:sz w:val="24"/>
        </w:rPr>
        <w:t>（様式５）</w:t>
      </w:r>
    </w:p>
    <w:p>
      <w:pPr>
        <w:pStyle w:val="0"/>
        <w:jc w:val="center"/>
        <w:rPr>
          <w:rFonts w:hint="default" w:ascii="Meiryo UI" w:hAnsi="Meiryo UI" w:eastAsia="Meiryo UI"/>
          <w:sz w:val="32"/>
        </w:rPr>
      </w:pPr>
      <w:r>
        <w:rPr>
          <w:rFonts w:hint="eastAsia" w:ascii="ＭＳ 明朝" w:hAnsi="ＭＳ 明朝" w:eastAsia="ＭＳ 明朝"/>
          <w:b w:val="1"/>
          <w:sz w:val="28"/>
        </w:rPr>
        <w:t>企画提案書【１】（放課後児童クラブの運営）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＜１．運営方針＞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52"/>
      </w:tblGrid>
      <w:tr>
        <w:trPr>
          <w:trHeight w:val="1794" w:hRule="atLeast"/>
        </w:trPr>
        <w:tc>
          <w:tcPr>
            <w:tcW w:w="95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＜２．開所日数及び時間（予定）＞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42"/>
        <w:gridCol w:w="1701"/>
        <w:gridCol w:w="6609"/>
      </w:tblGrid>
      <w:tr>
        <w:trPr>
          <w:trHeight w:val="1606" w:hRule="atLeast"/>
        </w:trPr>
        <w:tc>
          <w:tcPr>
            <w:tcW w:w="2943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開所日数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■年間開所日数：　　　　日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■閉所日等：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890" w:hRule="atLeast"/>
        </w:trPr>
        <w:tc>
          <w:tcPr>
            <w:tcW w:w="1242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開所時間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通常期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wordWrap w:val="0"/>
              <w:ind w:right="840" w:rightChars="400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ind w:right="840" w:rightChars="400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ind w:right="-23" w:rightChars="-11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</w:tc>
      </w:tr>
      <w:tr>
        <w:trPr>
          <w:trHeight w:val="860" w:hRule="atLeast"/>
        </w:trPr>
        <w:tc>
          <w:tcPr>
            <w:tcW w:w="1242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長期休業期間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＜３．利用料金等＞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48"/>
        <w:gridCol w:w="7104"/>
      </w:tblGrid>
      <w:tr>
        <w:trPr>
          <w:trHeight w:val="86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利用料金</w:t>
            </w:r>
          </w:p>
        </w:tc>
        <w:tc>
          <w:tcPr>
            <w:tcW w:w="7104" w:type="dxa"/>
            <w:vAlign w:val="bottom"/>
          </w:tcPr>
          <w:p>
            <w:pPr>
              <w:pStyle w:val="0"/>
              <w:wordWrap w:val="0"/>
              <w:jc w:val="left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jc w:val="left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  <w:u w:val="single" w:color="auto"/>
              </w:rPr>
            </w:pPr>
            <w:r>
              <w:rPr>
                <w:rFonts w:hint="eastAsia" w:ascii="ＭＳ Ｐ明朝" w:hAnsi="ＭＳ Ｐ明朝" w:eastAsia="ＭＳ Ｐ明朝"/>
                <w:sz w:val="16"/>
                <w:u w:val="none" w:color="auto"/>
              </w:rPr>
              <w:t>※利用頻度、長期休業期間中の利用等によりの設定の別があれば、設定ごとに記載　</w:t>
            </w:r>
          </w:p>
        </w:tc>
      </w:tr>
      <w:tr>
        <w:trPr>
          <w:trHeight w:val="107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延長利用料</w:t>
            </w:r>
          </w:p>
        </w:tc>
        <w:tc>
          <w:tcPr>
            <w:tcW w:w="7104" w:type="dxa"/>
            <w:vAlign w:val="bottom"/>
          </w:tcPr>
          <w:p>
            <w:pPr>
              <w:pStyle w:val="0"/>
              <w:wordWrap w:val="0"/>
              <w:jc w:val="left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jc w:val="left"/>
              <w:rPr>
                <w:rFonts w:hint="default" w:asciiTheme="minorEastAsia" w:hAnsiTheme="minorEastAsia"/>
                <w:sz w:val="24"/>
                <w:u w:val="single" w:color="auto"/>
              </w:rPr>
            </w:pP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  <w:u w:val="single" w:color="auto"/>
              </w:rPr>
            </w:pPr>
            <w:r>
              <w:rPr>
                <w:rFonts w:hint="eastAsia" w:ascii="ＭＳ Ｐ明朝" w:hAnsi="ＭＳ Ｐ明朝" w:eastAsia="ＭＳ Ｐ明朝"/>
                <w:sz w:val="16"/>
                <w:u w:val="none" w:color="auto"/>
              </w:rPr>
              <w:t>※早朝の預かり等サービスのメニューの別があれば、設定ごとに記載　</w:t>
            </w:r>
          </w:p>
        </w:tc>
      </w:tr>
      <w:tr>
        <w:trPr>
          <w:trHeight w:val="84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教材費</w:t>
            </w:r>
          </w:p>
        </w:tc>
        <w:tc>
          <w:tcPr>
            <w:tcW w:w="710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おやつ代</w:t>
            </w:r>
          </w:p>
        </w:tc>
        <w:tc>
          <w:tcPr>
            <w:tcW w:w="710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保険代</w:t>
            </w:r>
          </w:p>
        </w:tc>
        <w:tc>
          <w:tcPr>
            <w:tcW w:w="710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送迎代</w:t>
            </w:r>
          </w:p>
        </w:tc>
        <w:tc>
          <w:tcPr>
            <w:tcW w:w="710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610" w:hRule="atLeast"/>
        </w:trPr>
        <w:tc>
          <w:tcPr>
            <w:tcW w:w="244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その他の付加サービスの提供に係る料金</w:t>
            </w:r>
          </w:p>
        </w:tc>
        <w:tc>
          <w:tcPr>
            <w:tcW w:w="7104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＜４．活動内容＞　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■</w:t>
      </w:r>
      <w:r>
        <w:rPr>
          <w:rFonts w:hint="eastAsia" w:asciiTheme="minorEastAsia" w:hAnsiTheme="minorEastAsia"/>
          <w:sz w:val="24"/>
        </w:rPr>
        <w:t xml:space="preserve"> 1</w:t>
      </w:r>
      <w:r>
        <w:rPr>
          <w:rFonts w:hint="eastAsia" w:asciiTheme="minorEastAsia" w:hAnsiTheme="minorEastAsia"/>
          <w:sz w:val="24"/>
        </w:rPr>
        <w:t>日の基本活動プログラム（モデル）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776"/>
        <w:gridCol w:w="4776"/>
      </w:tblGrid>
      <w:tr>
        <w:trPr/>
        <w:tc>
          <w:tcPr>
            <w:tcW w:w="477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平日（学校登校日）</w:t>
            </w:r>
          </w:p>
        </w:tc>
        <w:tc>
          <w:tcPr>
            <w:tcW w:w="477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長期休業日・土曜日</w:t>
            </w:r>
          </w:p>
        </w:tc>
      </w:tr>
      <w:tr>
        <w:trPr>
          <w:trHeight w:val="4820" w:hRule="atLeast"/>
        </w:trPr>
        <w:tc>
          <w:tcPr>
            <w:tcW w:w="47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47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■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年間行事予定・計画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52"/>
      </w:tblGrid>
      <w:tr>
        <w:trPr>
          <w:trHeight w:val="4300" w:hRule="atLeast"/>
        </w:trPr>
        <w:tc>
          <w:tcPr>
            <w:tcW w:w="95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■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その他（特色ある活動等）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52"/>
      </w:tblGrid>
      <w:tr>
        <w:trPr>
          <w:trHeight w:val="3400" w:hRule="atLeast"/>
        </w:trPr>
        <w:tc>
          <w:tcPr>
            <w:tcW w:w="95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PMingLiU"/>
          <w:sz w:val="24"/>
        </w:rPr>
      </w:pPr>
      <w:r>
        <w:rPr>
          <w:rFonts w:hint="eastAsia" w:ascii="ＭＳ 明朝" w:hAnsi="ＭＳ 明朝" w:eastAsiaTheme="minorEastAsia"/>
          <w:sz w:val="24"/>
        </w:rPr>
        <w:t>＜５</w:t>
      </w:r>
      <w:r>
        <w:rPr>
          <w:rFonts w:hint="eastAsia" w:ascii="ＭＳ 明朝" w:hAnsi="ＭＳ 明朝" w:eastAsiaTheme="minorEastAsia"/>
          <w:sz w:val="24"/>
        </w:rPr>
        <w:t>.</w:t>
      </w:r>
      <w:r>
        <w:rPr>
          <w:rFonts w:hint="eastAsia" w:ascii="ＭＳ 明朝" w:hAnsi="ＭＳ 明朝" w:eastAsia="PMingLiU"/>
          <w:sz w:val="24"/>
        </w:rPr>
        <w:t>職員体制・配置予定表</w:t>
      </w:r>
      <w:r>
        <w:rPr>
          <w:rFonts w:hint="eastAsia" w:ascii="ＭＳ 明朝" w:hAnsi="ＭＳ 明朝" w:eastAsiaTheme="minorEastAsia"/>
          <w:sz w:val="24"/>
        </w:rPr>
        <w:t>＞</w:t>
      </w:r>
    </w:p>
    <w:tbl>
      <w:tblPr>
        <w:tblStyle w:val="11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468"/>
      </w:tblGrid>
      <w:tr>
        <w:trPr/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99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保育の実施体制・　組織体制図</w:t>
            </w:r>
          </w:p>
        </w:tc>
      </w:tr>
      <w:tr>
        <w:trPr>
          <w:trHeight w:val="5390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381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99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職員配置計画</w:t>
            </w:r>
          </w:p>
        </w:tc>
      </w:tr>
      <w:tr>
        <w:trPr>
          <w:trHeight w:val="5179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ind w:left="0" w:leftChars="0" w:firstLine="240" w:firstLineChars="100"/>
              <w:jc w:val="both"/>
              <w:rPr>
                <w:rFonts w:hint="eastAsia" w:ascii="ＭＳ 明朝" w:hAnsi="ＭＳ 明朝" w:eastAsia="ＭＳ 明朝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配置人数の見込み</w:t>
            </w:r>
          </w:p>
          <w:tbl>
            <w:tblPr>
              <w:tblStyle w:val="11"/>
              <w:tblW w:w="8820" w:type="dxa"/>
              <w:tblInd w:w="18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lastRow="0" w:firstColumn="1" w:lastColumn="0" w:noHBand="0" w:noVBand="1" w:val="04A0"/>
            </w:tblPr>
            <w:tblGrid>
              <w:gridCol w:w="2340"/>
              <w:gridCol w:w="1440"/>
              <w:gridCol w:w="1980"/>
              <w:gridCol w:w="1080"/>
              <w:gridCol w:w="1980"/>
            </w:tblGrid>
            <w:tr>
              <w:trPr/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雇用形態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資格の有無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人数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1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従事経験</w:t>
                  </w:r>
                </w:p>
              </w:tc>
            </w:tr>
            <w:tr>
              <w:trPr>
                <w:trHeight w:val="299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管理者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年）・　無</w:t>
                  </w:r>
                </w:p>
              </w:tc>
            </w:tr>
            <w:tr>
              <w:trPr/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支援員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43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支援員（土・長期休業）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43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補助員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43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補助員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71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補助員（土・長期休業）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1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71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sz w:val="22"/>
                    </w:rPr>
                    <w:t>補助員（土・長期休業）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sz w:val="22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71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271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lef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有（　　　　　　）・無</w:t>
                  </w: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blPrEx>
                <w:tblCellMar>
                  <w:left w:w="99" w:type="dxa"/>
                  <w:right w:w="99" w:type="dxa"/>
                </w:tblCellMar>
                <w:tblLook w:firstRow="0" w:lastRow="0" w:firstColumn="0" w:lastColumn="0" w:noHBand="1" w:noVBand="1" w:val="0600"/>
              </w:tblPrEx>
              <w:trPr>
                <w:trHeight w:val="312" w:hRule="atLeast"/>
              </w:trPr>
              <w:tc>
                <w:tcPr>
                  <w:tcW w:w="23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計</w:t>
                  </w:r>
                </w:p>
              </w:tc>
              <w:tc>
                <w:tcPr>
                  <w:tcW w:w="144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1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1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1"/>
                    <w:jc w:val="right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  <w:r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  <w:t>　　　人</w:t>
                  </w:r>
                </w:p>
              </w:tc>
              <w:tc>
                <w:tcPr>
                  <w:tcW w:w="198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single" w:color="auto" w:sz="4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widowControl w:val="1"/>
                    <w:jc w:val="center"/>
                    <w:rPr>
                      <w:rFonts w:hint="eastAsia" w:ascii="ＭＳ Ｐ明朝" w:hAnsi="ＭＳ Ｐ明朝" w:eastAsia="ＭＳ Ｐ明朝"/>
                      <w:kern w:val="2"/>
                      <w:sz w:val="22"/>
                    </w:rPr>
                  </w:pPr>
                </w:p>
              </w:tc>
            </w:tr>
          </w:tbl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319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99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職員の確保状況（具体的な確保手法）</w:t>
            </w:r>
          </w:p>
        </w:tc>
      </w:tr>
      <w:tr>
        <w:trPr>
          <w:trHeight w:val="1115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9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99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職員研修と職員育成方針について（職員の資質向上に係る具体的方策）</w:t>
            </w:r>
          </w:p>
        </w:tc>
      </w:tr>
      <w:tr>
        <w:trPr>
          <w:trHeight w:val="1144" w:hRule="atLeast"/>
        </w:trPr>
        <w:tc>
          <w:tcPr>
            <w:tcW w:w="94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＜６．業</w:t>
      </w:r>
      <w:bookmarkStart w:id="0" w:name="_GoBack"/>
      <w:bookmarkEnd w:id="0"/>
      <w:r>
        <w:rPr>
          <w:rFonts w:hint="eastAsia" w:asciiTheme="minorEastAsia" w:hAnsiTheme="minorEastAsia"/>
          <w:sz w:val="24"/>
        </w:rPr>
        <w:t>務実績等＞</w:t>
      </w:r>
    </w:p>
    <w:tbl>
      <w:tblPr>
        <w:tblStyle w:val="21"/>
        <w:tblW w:w="95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52"/>
      </w:tblGrid>
      <w:tr>
        <w:trPr>
          <w:trHeight w:val="3400" w:hRule="atLeast"/>
        </w:trPr>
        <w:tc>
          <w:tcPr>
            <w:tcW w:w="95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16"/>
              </w:rPr>
              <w:t>形態、規模等の類似する放課後児童クラブ運営業務の実績を記載　</w:t>
            </w: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sectPr>
      <w:pgSz w:w="11906" w:h="16838"/>
      <w:pgMar w:top="851" w:right="1134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100000" w:csb1="00000000"/>
  </w:font>
  <w:font w:name="Noto Serif J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ans JP Black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238</TotalTime>
  <Pages>4</Pages>
  <Words>1</Words>
  <Characters>516</Characters>
  <Application>JUST Note</Application>
  <Lines>161</Lines>
  <Paragraphs>66</Paragraphs>
  <CharactersWithSpaces>589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Oita</dc:creator>
  <cp:lastModifiedBy>河本　愛花</cp:lastModifiedBy>
  <cp:lastPrinted>2016-11-24T05:22:00Z</cp:lastPrinted>
  <dcterms:created xsi:type="dcterms:W3CDTF">2017-09-15T06:41:00Z</dcterms:created>
  <dcterms:modified xsi:type="dcterms:W3CDTF">2026-07-27T06:04:54Z</dcterms:modified>
  <cp:revision>11</cp:revision>
</cp:coreProperties>
</file>