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ＭＳ ゴシック" w:hAnsi="ＭＳ ゴシック" w:eastAsia="ＭＳ ゴシック"/>
          <w:sz w:val="24"/>
        </w:rPr>
        <w:t>開　催　要　項</w:t>
      </w:r>
    </w:p>
    <w:p>
      <w:pPr>
        <w:pStyle w:val="0"/>
        <w:overflowPunct w:val="0"/>
        <w:adjustRightInd w:val="0"/>
        <w:spacing w:line="180" w:lineRule="auto"/>
        <w:textAlignment w:val="baseline"/>
        <w:rPr>
          <w:rFonts w:hint="default" w:ascii="ＭＳ ゴシック" w:hAnsi="ＭＳ ゴシック" w:eastAsia="ＭＳ ゴシック"/>
          <w:kern w:val="0"/>
          <w:sz w:val="20"/>
        </w:rPr>
      </w:pPr>
    </w:p>
    <w:p>
      <w:pPr>
        <w:pStyle w:val="0"/>
        <w:overflowPunct w:val="0"/>
        <w:adjustRightInd w:val="0"/>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名　　称　　常設企画展　詩歌で蘇る幕末</w:t>
      </w:r>
    </w:p>
    <w:p>
      <w:pPr>
        <w:pStyle w:val="0"/>
        <w:overflowPunct w:val="0"/>
        <w:adjustRightInd w:val="0"/>
        <w:spacing w:line="180" w:lineRule="auto"/>
        <w:textAlignment w:val="baseline"/>
        <w:rPr>
          <w:rFonts w:hint="default" w:ascii="ＭＳ ゴシック" w:hAnsi="ＭＳ ゴシック" w:eastAsia="ＭＳ ゴシック"/>
          <w:color w:val="000000" w:themeColor="text1"/>
          <w:kern w:val="0"/>
          <w:sz w:val="20"/>
        </w:rPr>
      </w:pPr>
    </w:p>
    <w:p>
      <w:pPr>
        <w:pStyle w:val="0"/>
        <w:autoSpaceDE w:val="0"/>
        <w:autoSpaceDN w:val="0"/>
        <w:ind w:left="1915" w:hanging="1915" w:hangingChars="798"/>
        <w:jc w:val="left"/>
        <w:textAlignment w:val="top"/>
        <w:rPr>
          <w:rFonts w:hint="default" w:ascii="ＭＳ ゴシック" w:hAnsi="ＭＳ ゴシック" w:eastAsia="ＭＳ ゴシック"/>
          <w:sz w:val="24"/>
        </w:rPr>
      </w:pPr>
      <w:r>
        <w:rPr>
          <w:rFonts w:hint="eastAsia" w:ascii="ＭＳ ゴシック" w:hAnsi="ＭＳ ゴシック" w:eastAsia="ＭＳ ゴシック"/>
          <w:color w:val="000000" w:themeColor="text1"/>
          <w:sz w:val="24"/>
        </w:rPr>
        <w:t>２　趣　　旨　　　激動の幕末を駆け抜けた</w:t>
      </w:r>
      <w:r>
        <w:rPr>
          <w:rFonts w:hint="eastAsia" w:ascii="ＭＳ ゴシック" w:hAnsi="ＭＳ ゴシック" w:eastAsia="ＭＳ ゴシック"/>
          <w:sz w:val="24"/>
        </w:rPr>
        <w:t>高杉晋作。奇兵隊を結成し、下関戦争の止戦講和交渉などで活躍した晋作は、幕長戦争では長州藩軍を指揮して勝利に貢献したが、病に倒れてこの世を去る。晋作の生涯は２７年余りという短いものであったが、彼はそのなかで数多くの詩歌を遺した。</w:t>
      </w:r>
    </w:p>
    <w:p>
      <w:pPr>
        <w:pStyle w:val="0"/>
        <w:autoSpaceDE w:val="0"/>
        <w:autoSpaceDN w:val="0"/>
        <w:ind w:left="1915" w:hanging="1915" w:hangingChars="798"/>
        <w:jc w:val="left"/>
        <w:textAlignment w:val="top"/>
        <w:rPr>
          <w:rFonts w:hint="default" w:ascii="ＭＳ ゴシック" w:hAnsi="ＭＳ ゴシック" w:eastAsia="ＭＳ ゴシック"/>
          <w:sz w:val="24"/>
        </w:rPr>
      </w:pPr>
      <w:r>
        <w:rPr>
          <w:rFonts w:hint="eastAsia" w:ascii="ＭＳ ゴシック" w:hAnsi="ＭＳ ゴシック" w:eastAsia="ＭＳ ゴシック"/>
          <w:sz w:val="24"/>
        </w:rPr>
        <w:t>　　　　　　　　　晋作の遺した詩歌のなかには、自らの体験や、師・同志など多くの人たちとの交流をとおして生み出されたものがある。さらに、刻々と変化する政治情勢のなかに身を投じた晋作は、自らを取り巻く状況に対する感情を読み込んだ詩歌も多く遺した。また、晋作と共に幕末期を生きた人たちの詩歌にも、それぞれが抱いた感情や政治に対する思いが込められていたものがある。</w:t>
      </w:r>
    </w:p>
    <w:p>
      <w:pPr>
        <w:pStyle w:val="0"/>
        <w:autoSpaceDE w:val="0"/>
        <w:autoSpaceDN w:val="0"/>
        <w:ind w:left="1915" w:hanging="1915" w:hangingChars="798"/>
        <w:jc w:val="left"/>
        <w:textAlignment w:val="top"/>
        <w:rPr>
          <w:rFonts w:hint="default" w:ascii="ＭＳ ゴシック" w:hAnsi="ＭＳ ゴシック" w:eastAsia="ＭＳ ゴシック"/>
          <w:sz w:val="24"/>
        </w:rPr>
      </w:pPr>
      <w:r>
        <w:rPr>
          <w:rFonts w:hint="eastAsia" w:ascii="ＭＳ ゴシック" w:hAnsi="ＭＳ ゴシック" w:eastAsia="ＭＳ ゴシック"/>
          <w:sz w:val="24"/>
        </w:rPr>
        <w:t>　　　　　　　　　本展示では、高杉晋作をはじめ、幕末を生きた人たちの詩歌を紹介することで、激動の時代を辿る。</w:t>
      </w:r>
    </w:p>
    <w:p>
      <w:pPr>
        <w:pStyle w:val="0"/>
        <w:autoSpaceDE w:val="0"/>
        <w:autoSpaceDN w:val="0"/>
        <w:ind w:left="1890" w:leftChars="900"/>
        <w:textAlignment w:val="top"/>
        <w:rPr>
          <w:rFonts w:hint="default" w:ascii="ＭＳ ゴシック" w:hAnsi="ＭＳ ゴシック" w:eastAsia="ＭＳ ゴシック"/>
          <w:color w:val="000000" w:themeColor="text1"/>
          <w:sz w:val="24"/>
        </w:rPr>
      </w:pPr>
    </w:p>
    <w:p>
      <w:pPr>
        <w:pStyle w:val="0"/>
        <w:overflowPunct w:val="0"/>
        <w:adjustRightInd w:val="0"/>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　会　　場　　</w:t>
      </w:r>
      <w:r>
        <w:rPr>
          <w:rFonts w:hint="eastAsia" w:ascii="ＭＳ ゴシック" w:hAnsi="ＭＳ ゴシック" w:eastAsia="ＭＳ ゴシック"/>
          <w:color w:val="000000"/>
          <w:spacing w:val="14"/>
          <w:kern w:val="0"/>
          <w:sz w:val="24"/>
        </w:rPr>
        <w:t>下関市立東行記念館（</w:t>
      </w:r>
      <w:r>
        <w:rPr>
          <w:rFonts w:hint="eastAsia" w:ascii="ＭＳ ゴシック" w:hAnsi="ＭＳ ゴシック" w:eastAsia="ＭＳ ゴシック"/>
          <w:color w:val="000000"/>
          <w:kern w:val="0"/>
          <w:sz w:val="24"/>
        </w:rPr>
        <w:t>下関市大字吉田１１８４番地）</w:t>
      </w:r>
    </w:p>
    <w:p>
      <w:pPr>
        <w:pStyle w:val="0"/>
        <w:overflowPunct w:val="0"/>
        <w:adjustRightInd w:val="0"/>
        <w:spacing w:line="180" w:lineRule="auto"/>
        <w:textAlignment w:val="baseline"/>
        <w:rPr>
          <w:rFonts w:hint="default" w:ascii="ＭＳ ゴシック" w:hAnsi="ＭＳ ゴシック" w:eastAsia="ＭＳ ゴシック"/>
          <w:kern w:val="0"/>
          <w:sz w:val="20"/>
        </w:rPr>
      </w:pPr>
    </w:p>
    <w:p>
      <w:pPr>
        <w:pStyle w:val="0"/>
        <w:overflowPunct w:val="0"/>
        <w:adjustRightInd w:val="0"/>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４　会　　期　　令和７年　１２月１６日（火）から</w:t>
      </w:r>
    </w:p>
    <w:p>
      <w:pPr>
        <w:pStyle w:val="0"/>
        <w:overflowPunct w:val="0"/>
        <w:adjustRightInd w:val="0"/>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令和８年　　３月１５日（日）まで</w:t>
      </w:r>
    </w:p>
    <w:p>
      <w:pPr>
        <w:pStyle w:val="0"/>
        <w:overflowPunct w:val="0"/>
        <w:adjustRightInd w:val="0"/>
        <w:spacing w:line="180" w:lineRule="auto"/>
        <w:textAlignment w:val="baseline"/>
        <w:rPr>
          <w:rFonts w:hint="default" w:ascii="ＭＳ ゴシック" w:hAnsi="ＭＳ ゴシック" w:eastAsia="ＭＳ ゴシック"/>
          <w:kern w:val="0"/>
          <w:sz w:val="20"/>
        </w:rPr>
      </w:pPr>
      <w:bookmarkStart w:id="0" w:name="_GoBack"/>
      <w:bookmarkEnd w:id="0"/>
    </w:p>
    <w:p>
      <w:pPr>
        <w:pStyle w:val="0"/>
        <w:tabs>
          <w:tab w:val="left" w:leader="none" w:pos="6603"/>
        </w:tabs>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５　開館時間　　午前９時３０分から午後５時００分まで</w:t>
      </w:r>
    </w:p>
    <w:p>
      <w:pPr>
        <w:pStyle w:val="0"/>
        <w:tabs>
          <w:tab w:val="left" w:leader="none" w:pos="6603"/>
        </w:tabs>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※最終入館は午後４時３０分まで</w:t>
      </w:r>
    </w:p>
    <w:p>
      <w:pPr>
        <w:pStyle w:val="0"/>
        <w:tabs>
          <w:tab w:val="left" w:leader="none" w:pos="6603"/>
        </w:tabs>
        <w:spacing w:line="180" w:lineRule="auto"/>
        <w:rPr>
          <w:rFonts w:hint="default" w:ascii="ＭＳ ゴシック" w:hAnsi="ＭＳ ゴシック" w:eastAsia="ＭＳ ゴシック"/>
          <w:color w:val="000000"/>
          <w:kern w:val="0"/>
          <w:sz w:val="20"/>
        </w:rPr>
      </w:pPr>
    </w:p>
    <w:p>
      <w:pPr>
        <w:pStyle w:val="0"/>
        <w:tabs>
          <w:tab w:val="left" w:leader="none" w:pos="6603"/>
        </w:tabs>
        <w:ind w:left="1920" w:hanging="1920" w:hangingChars="8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６　休</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館</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日　　毎週月曜日（１月１２日・２月２３日は開館）</w:t>
      </w:r>
    </w:p>
    <w:p>
      <w:pPr>
        <w:pStyle w:val="0"/>
        <w:tabs>
          <w:tab w:val="left" w:leader="none" w:pos="6603"/>
        </w:tabs>
        <w:ind w:left="1680" w:leftChars="800" w:firstLine="240" w:firstLineChars="1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祝日の翌平日</w:t>
      </w:r>
    </w:p>
    <w:p>
      <w:pPr>
        <w:pStyle w:val="0"/>
        <w:tabs>
          <w:tab w:val="left" w:leader="none" w:pos="6603"/>
        </w:tabs>
        <w:ind w:left="1680" w:leftChars="800" w:firstLine="240" w:firstLineChars="1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年末年始（１２月２８日～１月４日）</w:t>
      </w:r>
    </w:p>
    <w:p>
      <w:pPr>
        <w:pStyle w:val="0"/>
        <w:tabs>
          <w:tab w:val="left" w:leader="none" w:pos="6603"/>
        </w:tabs>
        <w:spacing w:line="180" w:lineRule="auto"/>
        <w:rPr>
          <w:rFonts w:hint="default" w:ascii="ＭＳ ゴシック" w:hAnsi="ＭＳ ゴシック" w:eastAsia="ＭＳ ゴシック"/>
          <w:color w:val="000000"/>
          <w:kern w:val="0"/>
          <w:sz w:val="20"/>
        </w:rPr>
      </w:pPr>
    </w:p>
    <w:p>
      <w:pPr>
        <w:pStyle w:val="0"/>
        <w:rPr>
          <w:rFonts w:hint="default" w:ascii="ＭＳ ゴシック" w:hAnsi="ＭＳ ゴシック" w:eastAsia="ＭＳ ゴシック"/>
          <w:color w:val="000000"/>
          <w:spacing w:val="14"/>
          <w:kern w:val="0"/>
          <w:sz w:val="24"/>
        </w:rPr>
      </w:pPr>
      <w:r>
        <w:rPr>
          <w:rFonts w:hint="eastAsia" w:ascii="ＭＳ ゴシック" w:hAnsi="ＭＳ ゴシック" w:eastAsia="ＭＳ ゴシック"/>
          <w:color w:val="000000"/>
          <w:kern w:val="0"/>
          <w:sz w:val="24"/>
        </w:rPr>
        <w:t>７　観</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覧</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料　　一　　般　３００円（２４０円）</w:t>
      </w:r>
    </w:p>
    <w:p>
      <w:pPr>
        <w:pStyle w:val="0"/>
        <w:ind w:firstLine="1920" w:firstLineChars="8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大学生等</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２００円（１６０円）</w:t>
      </w:r>
    </w:p>
    <w:p>
      <w:pPr>
        <w:pStyle w:val="0"/>
        <w:snapToGrid w:val="0"/>
        <w:ind w:left="1915" w:leftChars="912"/>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）内は２０名以上の団体料金。</w:t>
      </w:r>
    </w:p>
    <w:p>
      <w:pPr>
        <w:pStyle w:val="0"/>
        <w:snapToGrid w:val="0"/>
        <w:ind w:left="2155" w:leftChars="912" w:hanging="240" w:hangingChars="1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※下関市内及び北九州市内に居住する６５歳以上の方は、１５０円。</w:t>
      </w:r>
    </w:p>
    <w:p>
      <w:pPr>
        <w:pStyle w:val="0"/>
        <w:snapToGrid w:val="0"/>
        <w:ind w:left="2155" w:leftChars="912" w:hanging="240" w:hangingChars="100"/>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※１８歳以下の方、障害者手帳等をお持ちの方、特別支援学校、</w:t>
      </w:r>
    </w:p>
    <w:p>
      <w:pPr>
        <w:pStyle w:val="0"/>
        <w:snapToGrid w:val="0"/>
        <w:ind w:left="2125" w:leftChars="1012"/>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高等学校、中等教育学校に在学の生徒は無料。</w:t>
      </w:r>
    </w:p>
    <w:p>
      <w:pPr>
        <w:pStyle w:val="0"/>
        <w:spacing w:line="180" w:lineRule="auto"/>
        <w:rPr>
          <w:rFonts w:hint="default" w:ascii="ＭＳ ゴシック" w:hAnsi="ＭＳ ゴシック" w:eastAsia="ＭＳ ゴシック"/>
          <w:color w:val="000000"/>
          <w:kern w:val="0"/>
          <w:sz w:val="20"/>
        </w:rPr>
      </w:pPr>
    </w:p>
    <w:p>
      <w:pPr>
        <w:pStyle w:val="27"/>
        <w:rPr>
          <w:rFonts w:hint="default"/>
        </w:rPr>
      </w:pPr>
      <w:r>
        <w:rPr>
          <w:rFonts w:hint="eastAsia" w:ascii="ＭＳ ゴシック" w:hAnsi="ＭＳ ゴシック" w:eastAsia="ＭＳ ゴシック"/>
          <w:sz w:val="24"/>
        </w:rPr>
        <w:t>８　主　　催　　下関市立東行記念館</w:t>
      </w:r>
    </w:p>
    <w:sectPr>
      <w:pgSz w:w="11906" w:h="16838"/>
      <w:pgMar w:top="1020" w:right="1134" w:bottom="1020" w:left="1134" w:header="851" w:footer="992" w:gutter="0"/>
      <w:cols w:space="720"/>
      <w:textDirection w:val="lrTb"/>
      <w:docGrid w:type="lines" w:linePitch="378"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21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kern w:val="2"/>
      <w:sz w:val="21"/>
    </w:rPr>
  </w:style>
  <w:style w:type="paragraph" w:styleId="27">
    <w:name w:val="No Spacing"/>
    <w:next w:val="27"/>
    <w:link w:val="0"/>
    <w:uiPriority w:val="0"/>
    <w:qFormat/>
    <w:pPr>
      <w:widowControl w:val="0"/>
      <w:jc w:val="both"/>
    </w:pPr>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9465</TotalTime>
  <Pages>1</Pages>
  <Words>0</Words>
  <Characters>644</Characters>
  <Application>JUST Note</Application>
  <Lines>37</Lines>
  <Paragraphs>20</Paragraphs>
  <Company>下関市</Company>
  <CharactersWithSpaces>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a513800</cp:lastModifiedBy>
  <cp:lastPrinted>2025-09-15T00:37:17Z</cp:lastPrinted>
  <dcterms:created xsi:type="dcterms:W3CDTF">2017-08-23T01:17:00Z</dcterms:created>
  <dcterms:modified xsi:type="dcterms:W3CDTF">2025-09-25T01:36:55Z</dcterms:modified>
  <cp:revision>565</cp:revision>
</cp:coreProperties>
</file>