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left"/>
        <w:rPr>
          <w:rFonts w:hint="default"/>
        </w:rPr>
      </w:pPr>
      <w:r>
        <w:rPr>
          <w:rFonts w:hint="eastAsia"/>
        </w:rPr>
        <w:t>別紙１</w:t>
      </w:r>
    </w:p>
    <w:p>
      <w:pPr>
        <w:pStyle w:val="0"/>
        <w:spacing w:line="360" w:lineRule="auto"/>
        <w:jc w:val="center"/>
        <w:rPr>
          <w:rFonts w:hint="default"/>
        </w:rPr>
      </w:pPr>
      <w:r>
        <w:rPr>
          <w:rFonts w:hint="eastAsia"/>
        </w:rPr>
        <w:t>仕様書</w:t>
      </w:r>
    </w:p>
    <w:p>
      <w:pPr>
        <w:pStyle w:val="0"/>
        <w:spacing w:line="360" w:lineRule="auto"/>
        <w:rPr>
          <w:rFonts w:hint="default"/>
        </w:rPr>
      </w:pPr>
    </w:p>
    <w:p>
      <w:pPr>
        <w:pStyle w:val="0"/>
        <w:spacing w:line="360" w:lineRule="auto"/>
        <w:ind w:firstLine="239" w:firstLineChars="100"/>
        <w:rPr>
          <w:rFonts w:hint="default"/>
        </w:rPr>
      </w:pPr>
      <w:r>
        <w:rPr>
          <w:rFonts w:hint="eastAsia" w:ascii="ＭＳ 明朝" w:hAnsi="ＭＳ 明朝" w:eastAsia="ＭＳ 明朝"/>
          <w:sz w:val="24"/>
        </w:rPr>
        <w:t>下関市立神玉公民館衛生設備保全業務</w:t>
      </w:r>
      <w:r>
        <w:rPr>
          <w:rFonts w:hint="eastAsia" w:ascii="ＭＳ 明朝" w:hAnsi="ＭＳ 明朝" w:eastAsia="ＭＳ 明朝"/>
          <w:sz w:val="24"/>
        </w:rPr>
        <w:t>(</w:t>
      </w:r>
      <w:r>
        <w:rPr>
          <w:rFonts w:hint="eastAsia" w:ascii="ＭＳ 明朝" w:hAnsi="ＭＳ 明朝" w:eastAsia="ＭＳ 明朝"/>
          <w:sz w:val="24"/>
        </w:rPr>
        <w:t>以下「業務」という。</w:t>
      </w:r>
      <w:r>
        <w:rPr>
          <w:rFonts w:hint="eastAsia" w:ascii="ＭＳ 明朝" w:hAnsi="ＭＳ 明朝" w:eastAsia="ＭＳ 明朝"/>
          <w:sz w:val="24"/>
        </w:rPr>
        <w:t>)</w:t>
      </w:r>
      <w:r>
        <w:rPr>
          <w:rFonts w:hint="eastAsia" w:ascii="ＭＳ 明朝" w:hAnsi="ＭＳ 明朝" w:eastAsia="ＭＳ 明朝"/>
          <w:sz w:val="24"/>
        </w:rPr>
        <w:t>は、この仕様に基づき実施するものとする。</w:t>
      </w:r>
    </w:p>
    <w:p>
      <w:pPr>
        <w:pStyle w:val="0"/>
        <w:spacing w:line="360" w:lineRule="auto"/>
        <w:ind w:firstLine="239" w:firstLineChars="100"/>
        <w:rPr>
          <w:rFonts w:hint="default"/>
        </w:rPr>
      </w:pPr>
      <w:r>
        <w:rPr>
          <w:rFonts w:hint="eastAsia" w:ascii="ＭＳ 明朝" w:hAnsi="ＭＳ 明朝" w:eastAsia="ＭＳ 明朝"/>
          <w:sz w:val="24"/>
        </w:rPr>
        <w:t>この</w:t>
      </w:r>
      <w:r>
        <w:rPr>
          <w:rFonts w:hint="eastAsia"/>
        </w:rPr>
        <w:t>仕様書は、業務の使用を定めるものであり、業務の受託者</w:t>
      </w:r>
      <w:r>
        <w:rPr>
          <w:rFonts w:hint="eastAsia"/>
        </w:rPr>
        <w:t>(</w:t>
      </w:r>
      <w:r>
        <w:rPr>
          <w:rFonts w:hint="eastAsia"/>
        </w:rPr>
        <w:t>以下「乙」という。</w:t>
      </w:r>
      <w:r>
        <w:rPr>
          <w:rFonts w:hint="eastAsia"/>
        </w:rPr>
        <w:t>)</w:t>
      </w:r>
      <w:r>
        <w:rPr>
          <w:rFonts w:hint="eastAsia"/>
        </w:rPr>
        <w:t>は、下関市</w:t>
      </w:r>
      <w:r>
        <w:rPr>
          <w:rFonts w:hint="eastAsia"/>
        </w:rPr>
        <w:t>(</w:t>
      </w:r>
      <w:r>
        <w:rPr>
          <w:rFonts w:hint="eastAsia"/>
        </w:rPr>
        <w:t>以下「甲」という。</w:t>
      </w:r>
      <w:r>
        <w:rPr>
          <w:rFonts w:hint="eastAsia"/>
        </w:rPr>
        <w:t>)</w:t>
      </w:r>
      <w:r>
        <w:rPr>
          <w:rFonts w:hint="eastAsia"/>
        </w:rPr>
        <w:t>が必要と認めた軽微な作業等については、記載の有無にかかわらず、委託料の範囲内において実施することとする。</w:t>
      </w:r>
    </w:p>
    <w:p>
      <w:pPr>
        <w:pStyle w:val="0"/>
        <w:spacing w:line="360" w:lineRule="auto"/>
        <w:rPr>
          <w:rFonts w:hint="default"/>
        </w:rPr>
      </w:pPr>
    </w:p>
    <w:p>
      <w:pPr>
        <w:pStyle w:val="0"/>
        <w:spacing w:line="360" w:lineRule="auto"/>
        <w:rPr>
          <w:rFonts w:hint="default"/>
        </w:rPr>
      </w:pPr>
      <w:r>
        <w:rPr>
          <w:rFonts w:hint="eastAsia"/>
        </w:rPr>
        <w:t>１　</w:t>
      </w:r>
      <w:r>
        <w:rPr>
          <w:rFonts w:hint="eastAsia"/>
          <w:spacing w:val="58"/>
          <w:fitText w:val="955" w:id="1"/>
        </w:rPr>
        <w:t>業務</w:t>
      </w:r>
      <w:r>
        <w:rPr>
          <w:rFonts w:hint="eastAsia"/>
          <w:spacing w:val="1"/>
          <w:fitText w:val="955" w:id="1"/>
        </w:rPr>
        <w:t>名</w:t>
      </w:r>
      <w:r>
        <w:rPr>
          <w:rFonts w:hint="eastAsia"/>
        </w:rPr>
        <w:t>　下関市立</w:t>
      </w:r>
      <w:r>
        <w:rPr>
          <w:rFonts w:hint="eastAsia" w:ascii="ＭＳ 明朝" w:hAnsi="ＭＳ 明朝" w:eastAsia="ＭＳ 明朝"/>
          <w:sz w:val="24"/>
        </w:rPr>
        <w:t>神玉公民館衛生設備保全業務</w:t>
      </w:r>
    </w:p>
    <w:p>
      <w:pPr>
        <w:pStyle w:val="0"/>
        <w:spacing w:line="360" w:lineRule="auto"/>
        <w:rPr>
          <w:rFonts w:hint="default"/>
        </w:rPr>
      </w:pPr>
      <w:r>
        <w:rPr>
          <w:rFonts w:hint="eastAsia" w:ascii="ＭＳ 明朝" w:hAnsi="ＭＳ 明朝" w:eastAsia="ＭＳ 明朝"/>
          <w:sz w:val="24"/>
        </w:rPr>
        <w:t>２　</w:t>
      </w:r>
      <w:r>
        <w:rPr>
          <w:rFonts w:hint="eastAsia"/>
        </w:rPr>
        <w:t>委託場所　</w:t>
      </w:r>
      <w:r>
        <w:rPr>
          <w:rFonts w:hint="eastAsia" w:ascii="ＭＳ 明朝" w:hAnsi="ＭＳ 明朝" w:eastAsia="ＭＳ 明朝"/>
          <w:sz w:val="24"/>
        </w:rPr>
        <w:t>神玉公民館</w:t>
      </w:r>
      <w:r>
        <w:rPr>
          <w:rFonts w:hint="eastAsia"/>
        </w:rPr>
        <w:t>　下関市豊北町大字神田上２７０９番地</w:t>
      </w:r>
    </w:p>
    <w:p>
      <w:pPr>
        <w:pStyle w:val="0"/>
        <w:spacing w:line="360" w:lineRule="auto"/>
        <w:ind w:leftChars="0" w:firstLine="0" w:firstLineChars="0"/>
        <w:rPr>
          <w:rFonts w:hint="default"/>
        </w:rPr>
      </w:pPr>
      <w:r>
        <w:rPr>
          <w:rFonts w:hint="eastAsia"/>
        </w:rPr>
        <w:t>３　委託期間　契約締結日から令和９年３月３１日まで</w:t>
      </w:r>
    </w:p>
    <w:p>
      <w:pPr>
        <w:pStyle w:val="0"/>
        <w:spacing w:line="360" w:lineRule="auto"/>
        <w:ind w:leftChars="0" w:firstLine="0" w:firstLineChars="0"/>
        <w:rPr>
          <w:rFonts w:hint="default"/>
        </w:rPr>
      </w:pPr>
      <w:r>
        <w:rPr>
          <w:rFonts w:hint="eastAsia"/>
        </w:rPr>
        <w:t>４　業務内容　以下の各設備の保全</w:t>
      </w:r>
      <w:r>
        <w:rPr>
          <w:rFonts w:hint="eastAsia"/>
        </w:rPr>
        <w:t>(</w:t>
      </w:r>
      <w:r>
        <w:rPr>
          <w:rFonts w:hint="eastAsia"/>
        </w:rPr>
        <w:t>更新を含む</w:t>
      </w:r>
      <w:r>
        <w:rPr>
          <w:rFonts w:hint="eastAsia"/>
        </w:rPr>
        <w:t>)</w:t>
      </w:r>
    </w:p>
    <w:p>
      <w:pPr>
        <w:pStyle w:val="0"/>
        <w:spacing w:line="360" w:lineRule="auto"/>
        <w:ind w:left="239" w:leftChars="100" w:firstLineChars="0"/>
        <w:rPr>
          <w:rFonts w:hint="default"/>
        </w:rPr>
      </w:pPr>
      <w:r>
        <w:rPr>
          <w:rFonts w:hint="eastAsia" w:ascii="ＭＳ 明朝" w:hAnsi="ＭＳ 明朝" w:eastAsia="ＭＳ 明朝"/>
          <w:sz w:val="24"/>
        </w:rPr>
        <w:t>(1)</w:t>
      </w:r>
      <w:r>
        <w:rPr>
          <w:rFonts w:hint="eastAsia" w:ascii="ＭＳ 明朝" w:hAnsi="ＭＳ 明朝" w:eastAsia="ＭＳ 明朝"/>
          <w:sz w:val="24"/>
        </w:rPr>
        <w:t>排水設備　　屋外屋内の排水施設及び浄化槽へ接続する排水設備</w:t>
      </w:r>
    </w:p>
    <w:p>
      <w:pPr>
        <w:pStyle w:val="0"/>
        <w:spacing w:line="360" w:lineRule="auto"/>
        <w:ind w:left="1908" w:leftChars="100" w:hanging="1669" w:hangingChars="699"/>
        <w:rPr>
          <w:rFonts w:hint="default"/>
        </w:rPr>
      </w:pPr>
      <w:r>
        <w:rPr>
          <w:rFonts w:hint="eastAsia" w:ascii="ＭＳ 明朝" w:hAnsi="ＭＳ 明朝" w:eastAsia="ＭＳ 明朝"/>
          <w:sz w:val="24"/>
        </w:rPr>
        <w:t>(2)</w:t>
      </w:r>
      <w:r>
        <w:rPr>
          <w:rFonts w:hint="eastAsia" w:ascii="ＭＳ 明朝" w:hAnsi="ＭＳ 明朝" w:eastAsia="ＭＳ 明朝"/>
          <w:sz w:val="24"/>
        </w:rPr>
        <w:t>浄化槽設備　屋外に設置された浄化槽の更新。現浄化槽の処分は、衛生管理が徹底された環境が確保された状態が継続することを条件とする。</w:t>
      </w:r>
    </w:p>
    <w:p>
      <w:pPr>
        <w:pStyle w:val="0"/>
        <w:spacing w:line="360" w:lineRule="auto"/>
        <w:ind w:left="239" w:leftChars="100" w:firstLineChars="0"/>
        <w:rPr>
          <w:rFonts w:hint="default"/>
        </w:rPr>
      </w:pPr>
      <w:r>
        <w:rPr>
          <w:rFonts w:hint="eastAsia" w:ascii="ＭＳ 明朝" w:hAnsi="ＭＳ 明朝" w:eastAsia="ＭＳ 明朝"/>
          <w:sz w:val="24"/>
        </w:rPr>
        <w:t>(3)</w:t>
      </w:r>
      <w:r>
        <w:rPr>
          <w:rFonts w:hint="eastAsia" w:ascii="ＭＳ 明朝" w:hAnsi="ＭＳ 明朝" w:eastAsia="ＭＳ 明朝"/>
          <w:sz w:val="24"/>
        </w:rPr>
        <w:t>業務の遂行に伴い発生する諸経費及び法定福利費</w:t>
      </w:r>
    </w:p>
    <w:p>
      <w:pPr>
        <w:pStyle w:val="0"/>
        <w:spacing w:line="360" w:lineRule="auto"/>
        <w:ind w:leftChars="0" w:hanging="236" w:hangingChars="99"/>
        <w:rPr>
          <w:rFonts w:hint="eastAsia"/>
        </w:rPr>
      </w:pPr>
      <w:r>
        <w:rPr>
          <w:rFonts w:hint="eastAsia"/>
        </w:rPr>
        <w:t>５　業務の遂行にあっては、以下に定める事項のほか関係法令を遵守するものとする。</w:t>
      </w:r>
    </w:p>
    <w:p>
      <w:pPr>
        <w:pStyle w:val="0"/>
        <w:spacing w:line="360" w:lineRule="auto"/>
        <w:ind w:left="478" w:leftChars="100" w:hanging="239" w:hangingChars="100"/>
        <w:rPr>
          <w:rFonts w:hint="eastAsia"/>
        </w:rPr>
      </w:pPr>
      <w:r>
        <w:rPr>
          <w:rFonts w:hint="eastAsia"/>
        </w:rPr>
        <w:t>(1)</w:t>
      </w:r>
      <w:r>
        <w:rPr>
          <w:rFonts w:hint="eastAsia"/>
        </w:rPr>
        <w:t>仕様変更または業務着手の延期若しくは業務の全部若しくは一部の中止の申し出があった場合における業務期間の変更、契約金額の変更又は損害の負担及びそれらの額の算定については豊北教育支所（以下「教育支所」という。）と協議し解決するものとする。</w:t>
      </w:r>
    </w:p>
    <w:p>
      <w:pPr>
        <w:pStyle w:val="0"/>
        <w:spacing w:line="360" w:lineRule="auto"/>
        <w:ind w:left="478" w:leftChars="100" w:hanging="239" w:hangingChars="100"/>
        <w:rPr>
          <w:rFonts w:hint="eastAsia"/>
        </w:rPr>
      </w:pPr>
      <w:r>
        <w:rPr>
          <w:rFonts w:hint="eastAsia"/>
        </w:rPr>
        <w:t>(2)</w:t>
      </w:r>
      <w:r>
        <w:rPr>
          <w:rFonts w:hint="eastAsia"/>
        </w:rPr>
        <w:t>天災その他不可抗力による業務期間の変更又は損害の負担及びそれらの額の算定については教育支所と協議し解決するものとする。</w:t>
      </w:r>
    </w:p>
    <w:p>
      <w:pPr>
        <w:pStyle w:val="0"/>
        <w:spacing w:line="360" w:lineRule="auto"/>
        <w:ind w:left="478" w:leftChars="100" w:hanging="239" w:hangingChars="100"/>
        <w:rPr>
          <w:rFonts w:hint="eastAsia"/>
        </w:rPr>
      </w:pPr>
      <w:r>
        <w:rPr>
          <w:rFonts w:hint="eastAsia"/>
        </w:rPr>
        <w:t>(3)</w:t>
      </w:r>
      <w:r>
        <w:rPr>
          <w:rFonts w:hint="eastAsia"/>
        </w:rPr>
        <w:t>価格等</w:t>
      </w:r>
      <w:r>
        <w:rPr>
          <w:rFonts w:hint="eastAsia"/>
        </w:rPr>
        <w:t>(</w:t>
      </w:r>
      <w:r>
        <w:rPr>
          <w:rFonts w:hint="eastAsia"/>
        </w:rPr>
        <w:t>物価統制令</w:t>
      </w:r>
      <w:r>
        <w:rPr>
          <w:rFonts w:hint="eastAsia"/>
        </w:rPr>
        <w:t>(</w:t>
      </w:r>
      <w:r>
        <w:rPr>
          <w:rFonts w:hint="eastAsia"/>
        </w:rPr>
        <w:t>昭和２０年勅令第１１８号</w:t>
      </w:r>
      <w:r>
        <w:rPr>
          <w:rFonts w:hint="eastAsia"/>
        </w:rPr>
        <w:t>)</w:t>
      </w:r>
      <w:r>
        <w:rPr>
          <w:rFonts w:hint="eastAsia"/>
        </w:rPr>
        <w:t>第２条に規定する価格等をいう。</w:t>
      </w:r>
      <w:r>
        <w:rPr>
          <w:rFonts w:hint="eastAsia"/>
        </w:rPr>
        <w:t>)</w:t>
      </w:r>
      <w:r>
        <w:rPr>
          <w:rFonts w:hint="eastAsia"/>
        </w:rPr>
        <w:t>の変動又は変更に基づく業務内容の変更又は契約額の変更及びその額の算定については教育支所と協議し解決するものとする。</w:t>
      </w:r>
    </w:p>
    <w:p>
      <w:pPr>
        <w:pStyle w:val="0"/>
        <w:spacing w:line="360" w:lineRule="auto"/>
        <w:ind w:left="478" w:leftChars="100" w:hanging="239" w:hangingChars="100"/>
        <w:rPr>
          <w:rFonts w:hint="eastAsia"/>
        </w:rPr>
      </w:pPr>
      <w:r>
        <w:rPr>
          <w:rFonts w:hint="eastAsia"/>
        </w:rPr>
        <w:t>(4)</w:t>
      </w:r>
      <w:r>
        <w:rPr>
          <w:rFonts w:hint="eastAsia"/>
        </w:rPr>
        <w:t>業務の実施により第三者が損害を受けた場合における賠償金の負担については教育支所と協議し解決するものとする。、</w:t>
      </w:r>
    </w:p>
    <w:p>
      <w:pPr>
        <w:pStyle w:val="0"/>
        <w:spacing w:line="360" w:lineRule="auto"/>
        <w:ind w:leftChars="0" w:firstLineChars="0"/>
        <w:rPr>
          <w:rFonts w:hint="eastAsia"/>
        </w:rPr>
      </w:pPr>
      <w:r>
        <w:rPr>
          <w:rFonts w:hint="eastAsia"/>
        </w:rPr>
        <w:t>６　提出書類</w:t>
      </w:r>
    </w:p>
    <w:p>
      <w:pPr>
        <w:pStyle w:val="0"/>
        <w:spacing w:line="360" w:lineRule="auto"/>
        <w:ind w:leftChars="0" w:firstLineChars="0"/>
        <w:rPr>
          <w:rFonts w:hint="eastAsia"/>
        </w:rPr>
      </w:pPr>
      <w:r>
        <w:rPr>
          <w:rFonts w:hint="eastAsia"/>
        </w:rPr>
        <w:t>　</w:t>
      </w:r>
      <w:r>
        <w:rPr>
          <w:rFonts w:hint="eastAsia"/>
        </w:rPr>
        <w:t>(</w:t>
      </w:r>
      <w:r>
        <w:rPr>
          <w:rFonts w:hint="eastAsia"/>
        </w:rPr>
        <w:t>１</w:t>
      </w:r>
      <w:r>
        <w:rPr>
          <w:rFonts w:hint="eastAsia"/>
        </w:rPr>
        <w:t>)</w:t>
      </w:r>
      <w:r>
        <w:rPr>
          <w:rFonts w:hint="eastAsia"/>
        </w:rPr>
        <w:t>着手前　工程表、業務計画書、その他教育支所の指示するもの。</w:t>
      </w:r>
    </w:p>
    <w:p>
      <w:pPr>
        <w:pStyle w:val="0"/>
        <w:spacing w:line="360" w:lineRule="auto"/>
        <w:ind w:left="1981" w:hanging="1981" w:hangingChars="830"/>
        <w:rPr>
          <w:rFonts w:hint="eastAsia"/>
        </w:rPr>
      </w:pPr>
      <w:r>
        <w:rPr>
          <w:rFonts w:hint="eastAsia"/>
        </w:rPr>
        <w:t>　</w:t>
      </w:r>
      <w:r>
        <w:rPr>
          <w:rFonts w:hint="eastAsia"/>
        </w:rPr>
        <w:t>(</w:t>
      </w:r>
      <w:r>
        <w:rPr>
          <w:rFonts w:hint="eastAsia"/>
        </w:rPr>
        <w:t>２</w:t>
      </w:r>
      <w:r>
        <w:rPr>
          <w:rFonts w:hint="eastAsia"/>
        </w:rPr>
        <w:t>)</w:t>
      </w:r>
      <w:r>
        <w:rPr>
          <w:rFonts w:hint="eastAsia"/>
        </w:rPr>
        <w:t>完了後　完成報告書</w:t>
      </w:r>
      <w:r>
        <w:rPr>
          <w:rFonts w:hint="eastAsia"/>
        </w:rPr>
        <w:t>(</w:t>
      </w:r>
      <w:r>
        <w:rPr>
          <w:rFonts w:hint="eastAsia"/>
        </w:rPr>
        <w:t>業務写真を含む</w:t>
      </w:r>
      <w:r>
        <w:rPr>
          <w:rFonts w:hint="eastAsia"/>
        </w:rPr>
        <w:t>)</w:t>
      </w:r>
      <w:r>
        <w:rPr>
          <w:rFonts w:hint="eastAsia"/>
        </w:rPr>
        <w:t>２部、その他教育支所が指示するもの。</w:t>
      </w:r>
    </w:p>
    <w:p>
      <w:pPr>
        <w:pStyle w:val="0"/>
        <w:spacing w:line="360" w:lineRule="auto"/>
        <w:ind w:left="1981" w:hanging="1981" w:hangingChars="830"/>
        <w:rPr>
          <w:rFonts w:hint="eastAsia"/>
        </w:rPr>
      </w:pPr>
      <w:r>
        <w:rPr>
          <w:rFonts w:hint="eastAsia"/>
        </w:rPr>
        <w:t>７　現場・安全管理</w:t>
      </w:r>
    </w:p>
    <w:p>
      <w:pPr>
        <w:pStyle w:val="0"/>
        <w:spacing w:line="360" w:lineRule="auto"/>
        <w:ind w:left="1981" w:hanging="1981" w:hangingChars="830"/>
        <w:rPr>
          <w:rFonts w:hint="eastAsia"/>
        </w:rPr>
      </w:pPr>
      <w:r>
        <w:rPr>
          <w:rFonts w:hint="eastAsia"/>
        </w:rPr>
        <w:t>　</w:t>
      </w:r>
      <w:r>
        <w:rPr>
          <w:rFonts w:hint="eastAsia"/>
        </w:rPr>
        <w:t>(</w:t>
      </w:r>
      <w:r>
        <w:rPr>
          <w:rFonts w:hint="eastAsia"/>
        </w:rPr>
        <w:t>１</w:t>
      </w:r>
      <w:r>
        <w:rPr>
          <w:rFonts w:hint="eastAsia"/>
        </w:rPr>
        <w:t>)</w:t>
      </w:r>
      <w:r>
        <w:rPr>
          <w:rFonts w:hint="eastAsia"/>
        </w:rPr>
        <w:t>契約締結後、速やかに現地調査を行い、早期着手及び完了に努めること。</w:t>
      </w:r>
    </w:p>
    <w:p>
      <w:pPr>
        <w:pStyle w:val="0"/>
        <w:spacing w:line="360" w:lineRule="auto"/>
        <w:ind w:left="1981" w:hanging="1981" w:hangingChars="830"/>
        <w:rPr>
          <w:rFonts w:hint="eastAsia"/>
        </w:rPr>
      </w:pPr>
      <w:r>
        <w:rPr>
          <w:rFonts w:hint="eastAsia"/>
        </w:rPr>
        <w:t>　</w:t>
      </w:r>
      <w:r>
        <w:rPr>
          <w:rFonts w:hint="eastAsia"/>
        </w:rPr>
        <w:t>(</w:t>
      </w:r>
      <w:r>
        <w:rPr>
          <w:rFonts w:hint="eastAsia"/>
        </w:rPr>
        <w:t>２</w:t>
      </w:r>
      <w:r>
        <w:rPr>
          <w:rFonts w:hint="eastAsia"/>
        </w:rPr>
        <w:t>)</w:t>
      </w:r>
      <w:r>
        <w:rPr>
          <w:rFonts w:hint="eastAsia"/>
        </w:rPr>
        <w:t>業務箇所における事故及び災害防止の措置を確実に講ずること</w:t>
      </w:r>
    </w:p>
    <w:p>
      <w:pPr>
        <w:pStyle w:val="0"/>
        <w:spacing w:line="360" w:lineRule="auto"/>
        <w:ind w:leftChars="0" w:hanging="477" w:hangingChars="200"/>
        <w:rPr>
          <w:rFonts w:hint="eastAsia"/>
        </w:rPr>
      </w:pPr>
      <w:r>
        <w:rPr>
          <w:rFonts w:hint="eastAsia"/>
        </w:rPr>
        <w:t>　</w:t>
      </w:r>
      <w:r>
        <w:rPr>
          <w:rFonts w:hint="eastAsia"/>
        </w:rPr>
        <w:t>(</w:t>
      </w:r>
      <w:r>
        <w:rPr>
          <w:rFonts w:hint="eastAsia"/>
        </w:rPr>
        <w:t>３</w:t>
      </w:r>
      <w:r>
        <w:rPr>
          <w:rFonts w:hint="eastAsia"/>
        </w:rPr>
        <w:t>)</w:t>
      </w:r>
      <w:r>
        <w:rPr>
          <w:rFonts w:hint="eastAsia"/>
        </w:rPr>
        <w:t>労働災害を防止するための必要な措置を講じなければならない。</w:t>
      </w:r>
    </w:p>
    <w:p>
      <w:pPr>
        <w:pStyle w:val="0"/>
        <w:spacing w:line="360" w:lineRule="auto"/>
        <w:ind w:left="478" w:leftChars="100" w:hanging="239" w:hangingChars="100"/>
        <w:rPr>
          <w:rFonts w:hint="eastAsia"/>
        </w:rPr>
      </w:pPr>
      <w:r>
        <w:rPr>
          <w:rFonts w:hint="eastAsia"/>
        </w:rPr>
        <w:t>(</w:t>
      </w:r>
      <w:r>
        <w:rPr>
          <w:rFonts w:hint="eastAsia"/>
        </w:rPr>
        <w:t>４</w:t>
      </w:r>
      <w:r>
        <w:rPr>
          <w:rFonts w:hint="eastAsia"/>
        </w:rPr>
        <w:t>)</w:t>
      </w:r>
      <w:r>
        <w:rPr>
          <w:rFonts w:hint="eastAsia"/>
        </w:rPr>
        <w:t>事故又は災害が発生した場合は、最善の応急処理を講じるとともに直ちに教育支所及び関係官公署に報告しなければならない。</w:t>
      </w:r>
    </w:p>
    <w:p>
      <w:pPr>
        <w:pStyle w:val="0"/>
        <w:spacing w:line="360" w:lineRule="auto"/>
        <w:ind w:left="475" w:leftChars="100" w:hanging="236" w:hangingChars="99"/>
        <w:rPr>
          <w:rFonts w:hint="eastAsia"/>
        </w:rPr>
      </w:pPr>
      <w:r>
        <w:rPr>
          <w:rFonts w:hint="eastAsia"/>
        </w:rPr>
        <w:t>(</w:t>
      </w:r>
      <w:r>
        <w:rPr>
          <w:rFonts w:hint="eastAsia"/>
        </w:rPr>
        <w:t>５</w:t>
      </w:r>
      <w:r>
        <w:rPr>
          <w:rFonts w:hint="eastAsia"/>
        </w:rPr>
        <w:t>)</w:t>
      </w:r>
      <w:r>
        <w:rPr>
          <w:rFonts w:hint="eastAsia"/>
        </w:rPr>
        <w:t>契約締結後に明らかになって事情により、予定した条件によりがたい場合は、教育支所と協議しなければならない。</w:t>
      </w:r>
    </w:p>
    <w:p>
      <w:pPr>
        <w:pStyle w:val="0"/>
        <w:spacing w:line="360" w:lineRule="auto"/>
        <w:ind w:left="475" w:leftChars="100" w:hanging="236" w:hangingChars="99"/>
        <w:rPr>
          <w:rFonts w:hint="eastAsia"/>
        </w:rPr>
      </w:pPr>
      <w:r>
        <w:rPr>
          <w:rFonts w:hint="eastAsia"/>
        </w:rPr>
        <w:t>(</w:t>
      </w:r>
      <w:r>
        <w:rPr>
          <w:rFonts w:hint="eastAsia"/>
        </w:rPr>
        <w:t>６</w:t>
      </w:r>
      <w:r>
        <w:rPr>
          <w:rFonts w:hint="eastAsia"/>
        </w:rPr>
        <w:t>)</w:t>
      </w:r>
      <w:r>
        <w:rPr>
          <w:rFonts w:hint="eastAsia"/>
        </w:rPr>
        <w:t>業務中の立会検査は、監督職員の指示によるものとする。</w:t>
      </w:r>
    </w:p>
    <w:p>
      <w:pPr>
        <w:pStyle w:val="0"/>
        <w:spacing w:line="360" w:lineRule="auto"/>
        <w:ind w:left="475" w:leftChars="100" w:hanging="236" w:hangingChars="99"/>
        <w:rPr>
          <w:rFonts w:hint="eastAsia"/>
        </w:rPr>
      </w:pPr>
      <w:r>
        <w:rPr>
          <w:rFonts w:hint="eastAsia"/>
        </w:rPr>
        <w:t>(</w:t>
      </w:r>
      <w:r>
        <w:rPr>
          <w:rFonts w:hint="eastAsia"/>
        </w:rPr>
        <w:t>７</w:t>
      </w:r>
      <w:bookmarkStart w:id="0" w:name="_GoBack"/>
      <w:bookmarkEnd w:id="0"/>
      <w:r>
        <w:rPr>
          <w:rFonts w:hint="eastAsia"/>
        </w:rPr>
        <w:t>)</w:t>
      </w:r>
      <w:r>
        <w:rPr>
          <w:rFonts w:hint="eastAsia"/>
        </w:rPr>
        <w:t>現地着手においては、神玉公民館及び神玉支所の公務に影響しないよう調整を図ること。</w:t>
      </w:r>
    </w:p>
    <w:p>
      <w:pPr>
        <w:pStyle w:val="0"/>
        <w:spacing w:line="360" w:lineRule="auto"/>
        <w:ind w:leftChars="0" w:hanging="475" w:hangingChars="199"/>
        <w:rPr>
          <w:rFonts w:hint="eastAsia"/>
        </w:rPr>
      </w:pPr>
      <w:r>
        <w:rPr>
          <w:rFonts w:hint="eastAsia"/>
        </w:rPr>
        <w:t>８　その他</w:t>
      </w:r>
    </w:p>
    <w:p>
      <w:pPr>
        <w:pStyle w:val="0"/>
        <w:spacing w:line="360" w:lineRule="auto"/>
        <w:ind w:left="475" w:leftChars="100" w:hanging="236" w:hangingChars="99"/>
        <w:rPr>
          <w:rFonts w:hint="eastAsia"/>
        </w:rPr>
      </w:pPr>
      <w:r>
        <w:rPr>
          <w:rFonts w:hint="eastAsia"/>
        </w:rPr>
        <w:t>(</w:t>
      </w:r>
      <w:r>
        <w:rPr>
          <w:rFonts w:hint="eastAsia"/>
        </w:rPr>
        <w:t>１</w:t>
      </w:r>
      <w:r>
        <w:rPr>
          <w:rFonts w:hint="eastAsia"/>
        </w:rPr>
        <w:t>)</w:t>
      </w:r>
      <w:r>
        <w:rPr>
          <w:rFonts w:hint="eastAsia"/>
        </w:rPr>
        <w:t>個人情報の取扱いにあたり、別紙２「個人情報取扱い特記事項」を遵守すること。</w:t>
      </w:r>
    </w:p>
    <w:p>
      <w:pPr>
        <w:pStyle w:val="0"/>
        <w:spacing w:line="360" w:lineRule="auto"/>
        <w:ind w:left="475" w:leftChars="100" w:hanging="236" w:hangingChars="99"/>
        <w:rPr>
          <w:rFonts w:hint="eastAsia"/>
        </w:rPr>
      </w:pPr>
      <w:r>
        <w:rPr>
          <w:rFonts w:hint="eastAsia"/>
        </w:rPr>
        <w:t>(</w:t>
      </w:r>
      <w:r>
        <w:rPr>
          <w:rFonts w:hint="eastAsia"/>
        </w:rPr>
        <w:t>２</w:t>
      </w:r>
      <w:r>
        <w:rPr>
          <w:rFonts w:hint="eastAsia"/>
        </w:rPr>
        <w:t>)</w:t>
      </w:r>
      <w:r>
        <w:rPr>
          <w:rFonts w:hint="eastAsia"/>
        </w:rPr>
        <w:t>業務のうち、しものせきエコマネジメントプランに基づく環境に関する特記事項は、別紙３特記仕様書</w:t>
      </w:r>
      <w:r>
        <w:rPr>
          <w:rFonts w:hint="eastAsia"/>
        </w:rPr>
        <w:t>(</w:t>
      </w:r>
      <w:r>
        <w:rPr>
          <w:rFonts w:hint="eastAsia"/>
        </w:rPr>
        <w:t>環境編簡易</w:t>
      </w:r>
      <w:r>
        <w:rPr>
          <w:rFonts w:hint="eastAsia"/>
        </w:rPr>
        <w:t>)</w:t>
      </w:r>
      <w:r>
        <w:rPr>
          <w:rFonts w:hint="eastAsia"/>
        </w:rPr>
        <w:t>のとおりとする。</w:t>
      </w:r>
    </w:p>
    <w:p>
      <w:pPr>
        <w:pStyle w:val="0"/>
        <w:spacing w:line="360" w:lineRule="auto"/>
        <w:ind w:left="475" w:leftChars="100" w:hanging="236" w:hangingChars="99"/>
        <w:rPr>
          <w:rFonts w:hint="default"/>
        </w:rPr>
      </w:pPr>
      <w:r>
        <w:rPr>
          <w:rFonts w:hint="eastAsia"/>
        </w:rPr>
        <w:t>(</w:t>
      </w:r>
      <w:r>
        <w:rPr>
          <w:rFonts w:hint="eastAsia"/>
        </w:rPr>
        <w:t>３</w:t>
      </w:r>
      <w:r>
        <w:rPr>
          <w:rFonts w:hint="eastAsia"/>
        </w:rPr>
        <w:t>)</w:t>
      </w:r>
      <w:r>
        <w:rPr>
          <w:rFonts w:hint="eastAsia"/>
        </w:rPr>
        <w:t>業務のうち、下関市暴力団排除条例による措置については、別紙４「下関市暴力団排除条例による措置に係る特記事項」のとおりとする。</w:t>
      </w:r>
    </w:p>
    <w:sectPr>
      <w:headerReference r:id="rId5" w:type="default"/>
      <w:pgSz w:w="11906" w:h="16838"/>
      <w:pgMar w:top="1361" w:right="1418" w:bottom="1418" w:left="1418" w:header="851" w:footer="992" w:gutter="0"/>
      <w:cols w:space="720"/>
      <w:textDirection w:val="lrTb"/>
      <w:docGrid w:type="linesAndChars" w:linePitch="415"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Theme="majorEastAsia" w:hAnsiTheme="majorEastAsia" w:eastAsiaTheme="majorEastAsia"/>
        <w:sz w:val="21"/>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239"/>
  <w:drawingGridVerticalSpacing w:val="415"/>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345</TotalTime>
  <Pages>3</Pages>
  <Words>7</Words>
  <Characters>1292</Characters>
  <Application>JUST Note</Application>
  <Lines>50</Lines>
  <Paragraphs>31</Paragraphs>
  <CharactersWithSpaces>1315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高野　修一</cp:lastModifiedBy>
  <cp:lastPrinted>2018-12-12T11:43:00Z</cp:lastPrinted>
  <dcterms:created xsi:type="dcterms:W3CDTF">2020-05-01T00:39:00Z</dcterms:created>
  <dcterms:modified xsi:type="dcterms:W3CDTF">2026-07-07T02:00:11Z</dcterms:modified>
  <cp:revision>9</cp:revision>
</cp:coreProperties>
</file>