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sz w:val="24"/>
        </w:rPr>
      </w:pPr>
      <w:r>
        <w:rPr>
          <w:rFonts w:hint="eastAsia"/>
          <w:color w:val="auto"/>
          <w:sz w:val="24"/>
        </w:rPr>
        <w:t>下関市地籍調査業務委託に関する最低制限価格制度実施要領</w:t>
      </w:r>
    </w:p>
    <w:p>
      <w:pPr>
        <w:pStyle w:val="0"/>
        <w:rPr>
          <w:rFonts w:hint="default"/>
          <w:color w:val="auto"/>
          <w:sz w:val="24"/>
        </w:rPr>
      </w:pPr>
    </w:p>
    <w:p>
      <w:pPr>
        <w:pStyle w:val="0"/>
        <w:rPr>
          <w:rFonts w:hint="default"/>
          <w:color w:val="auto"/>
          <w:sz w:val="24"/>
        </w:rPr>
      </w:pPr>
      <w:r>
        <w:rPr>
          <w:rFonts w:hint="eastAsia"/>
          <w:color w:val="auto"/>
          <w:sz w:val="24"/>
        </w:rPr>
        <w:t>（趣旨）</w:t>
      </w:r>
    </w:p>
    <w:p>
      <w:pPr>
        <w:pStyle w:val="0"/>
        <w:ind w:left="273" w:hanging="273" w:hangingChars="100"/>
        <w:rPr>
          <w:rFonts w:hint="default"/>
          <w:color w:val="auto"/>
          <w:sz w:val="24"/>
        </w:rPr>
      </w:pPr>
      <w:r>
        <w:rPr>
          <w:rFonts w:hint="eastAsia"/>
          <w:color w:val="auto"/>
          <w:sz w:val="24"/>
        </w:rPr>
        <w:t>第１条　この要領は、下関市が発注する地籍調査業務委託の一般競争入札及び指名競争入札（以下「競争入札」という。）に関し、下関市契約規則（平成２１年規則第２９号。以下「規則」という。）第１１条第１項の規定による最低制限価格の取扱いについて、必要な事項を定めるものとする。</w:t>
      </w:r>
    </w:p>
    <w:p>
      <w:pPr>
        <w:pStyle w:val="0"/>
        <w:ind w:left="273" w:hanging="273" w:hangingChars="100"/>
        <w:rPr>
          <w:rFonts w:hint="default"/>
          <w:color w:val="auto"/>
          <w:sz w:val="24"/>
        </w:rPr>
      </w:pPr>
      <w:r>
        <w:rPr>
          <w:rFonts w:hint="eastAsia"/>
          <w:color w:val="auto"/>
          <w:sz w:val="24"/>
        </w:rPr>
        <w:t>（対象）</w:t>
      </w:r>
    </w:p>
    <w:p>
      <w:pPr>
        <w:pStyle w:val="0"/>
        <w:ind w:left="284" w:hanging="284" w:hangingChars="104"/>
        <w:rPr>
          <w:rFonts w:hint="default"/>
          <w:color w:val="auto"/>
          <w:sz w:val="24"/>
        </w:rPr>
      </w:pPr>
      <w:r>
        <w:rPr>
          <w:rFonts w:hint="eastAsia"/>
          <w:color w:val="auto"/>
          <w:sz w:val="24"/>
        </w:rPr>
        <w:t>第２条　最低制限価格の対象は、都市計画課が所管する予算にて執行する地籍調査業務委託とする。</w:t>
      </w:r>
    </w:p>
    <w:p>
      <w:pPr>
        <w:pStyle w:val="0"/>
        <w:ind w:left="273" w:hanging="273" w:hangingChars="100"/>
        <w:rPr>
          <w:rFonts w:hint="default"/>
          <w:color w:val="auto"/>
          <w:sz w:val="24"/>
        </w:rPr>
      </w:pPr>
      <w:r>
        <w:rPr>
          <w:rFonts w:hint="eastAsia"/>
          <w:color w:val="auto"/>
          <w:sz w:val="24"/>
        </w:rPr>
        <w:t>（周知）</w:t>
      </w:r>
    </w:p>
    <w:p>
      <w:pPr>
        <w:pStyle w:val="0"/>
        <w:ind w:left="273" w:hanging="273" w:hangingChars="100"/>
        <w:rPr>
          <w:rFonts w:hint="default"/>
          <w:color w:val="auto"/>
          <w:sz w:val="24"/>
        </w:rPr>
      </w:pPr>
      <w:r>
        <w:rPr>
          <w:rFonts w:hint="eastAsia"/>
          <w:color w:val="auto"/>
          <w:sz w:val="24"/>
        </w:rPr>
        <w:t>第３条　最低制限価格を適用する旨を、規則第４条第１項の規定による公告及び第１７条第２項の規定による通知において明らかにするものとする。</w:t>
      </w:r>
    </w:p>
    <w:p>
      <w:pPr>
        <w:pStyle w:val="0"/>
        <w:ind w:left="273" w:hanging="273" w:hangingChars="100"/>
        <w:rPr>
          <w:rFonts w:hint="default"/>
          <w:color w:val="auto"/>
          <w:sz w:val="24"/>
        </w:rPr>
      </w:pPr>
      <w:r>
        <w:rPr>
          <w:rFonts w:hint="eastAsia"/>
          <w:color w:val="auto"/>
          <w:sz w:val="24"/>
        </w:rPr>
        <w:t>（最低制限価格の設定）</w:t>
      </w:r>
    </w:p>
    <w:p>
      <w:pPr>
        <w:pStyle w:val="0"/>
        <w:ind w:left="273" w:hanging="273" w:hangingChars="100"/>
        <w:rPr>
          <w:rFonts w:hint="eastAsia"/>
          <w:color w:val="auto"/>
          <w:sz w:val="24"/>
        </w:rPr>
      </w:pPr>
      <w:r>
        <w:rPr>
          <w:rFonts w:hint="eastAsia"/>
          <w:color w:val="auto"/>
          <w:sz w:val="24"/>
        </w:rPr>
        <w:t>第４条　最低制限価格は、</w:t>
      </w:r>
      <w:r>
        <w:rPr>
          <w:rFonts w:hint="eastAsia"/>
          <w:b w:val="0"/>
          <w:color w:val="auto"/>
          <w:sz w:val="24"/>
          <w:u w:val="none" w:color="auto"/>
        </w:rPr>
        <w:t>次号</w:t>
      </w:r>
      <w:r>
        <w:rPr>
          <w:rFonts w:hint="eastAsia"/>
          <w:color w:val="auto"/>
          <w:sz w:val="24"/>
        </w:rPr>
        <w:t>により算出された価格とする。</w:t>
      </w:r>
    </w:p>
    <w:p>
      <w:pPr>
        <w:pStyle w:val="0"/>
        <w:ind w:left="0" w:leftChars="0" w:hanging="546" w:hangingChars="200"/>
        <w:rPr>
          <w:rFonts w:hint="default"/>
          <w:color w:val="auto"/>
          <w:sz w:val="24"/>
        </w:rPr>
      </w:pPr>
      <w:r>
        <w:rPr>
          <w:rFonts w:hint="eastAsia"/>
          <w:color w:val="auto"/>
          <w:sz w:val="24"/>
        </w:rPr>
        <w:t>　</w:t>
      </w:r>
      <w:r>
        <w:rPr>
          <w:rFonts w:hint="eastAsia"/>
          <w:color w:val="auto"/>
          <w:sz w:val="24"/>
        </w:rPr>
        <w:t xml:space="preserve">(1) </w:t>
      </w:r>
      <w:r>
        <w:rPr>
          <w:rFonts w:hint="eastAsia"/>
          <w:color w:val="auto"/>
          <w:sz w:val="24"/>
        </w:rPr>
        <w:t>別表１の最低制限価格基準額の欄に定める額（当該額が別表２上限額の欄に定める額を超える場合は同欄に定める額とし、同表下限額の欄に定める額に満たない場合は同欄に定める額とする。）の合計額（当該合計額が１，０００万円以上の場合は１０万円未満を切り上げ、１００万円以上１，０００万円未満の場合は１万円未満を切り上げ、１００万円未満の場合は千円未満を切り上げる。）</w:t>
      </w:r>
      <w:r>
        <w:rPr>
          <w:rFonts w:hint="eastAsia"/>
          <w:color w:val="auto"/>
          <w:sz w:val="24"/>
        </w:rPr>
        <w:t xml:space="preserve"> </w:t>
      </w:r>
      <w:r>
        <w:rPr>
          <w:rFonts w:hint="eastAsia"/>
          <w:color w:val="auto"/>
          <w:sz w:val="24"/>
        </w:rPr>
        <w:t>とする。</w:t>
      </w:r>
    </w:p>
    <w:p>
      <w:pPr>
        <w:pStyle w:val="0"/>
        <w:ind w:left="273" w:hanging="273" w:hangingChars="100"/>
        <w:rPr>
          <w:rFonts w:hint="default"/>
          <w:color w:val="auto"/>
          <w:sz w:val="24"/>
        </w:rPr>
      </w:pPr>
      <w:r>
        <w:rPr>
          <w:rFonts w:hint="eastAsia"/>
          <w:color w:val="auto"/>
          <w:sz w:val="24"/>
        </w:rPr>
        <w:t>（委任）</w:t>
      </w:r>
    </w:p>
    <w:p>
      <w:pPr>
        <w:pStyle w:val="0"/>
        <w:ind w:left="273" w:hanging="273" w:hangingChars="100"/>
        <w:rPr>
          <w:rFonts w:hint="default"/>
          <w:color w:val="auto"/>
          <w:sz w:val="24"/>
        </w:rPr>
      </w:pPr>
      <w:r>
        <w:rPr>
          <w:rFonts w:hint="eastAsia"/>
          <w:color w:val="auto"/>
          <w:sz w:val="24"/>
        </w:rPr>
        <w:t>第５条　この要領に定めるもののほか、最低制限価格の実施に関し必要な事項は別に定める。</w:t>
      </w:r>
    </w:p>
    <w:p>
      <w:pPr>
        <w:pStyle w:val="0"/>
        <w:rPr>
          <w:rFonts w:hint="default"/>
          <w:color w:val="auto"/>
          <w:sz w:val="24"/>
        </w:rPr>
      </w:pPr>
    </w:p>
    <w:p>
      <w:pPr>
        <w:pStyle w:val="0"/>
        <w:ind w:left="243" w:leftChars="100" w:firstLine="819" w:firstLineChars="300"/>
        <w:rPr>
          <w:rFonts w:hint="default"/>
          <w:color w:val="auto"/>
          <w:sz w:val="24"/>
        </w:rPr>
      </w:pPr>
      <w:r>
        <w:rPr>
          <w:rFonts w:hint="eastAsia"/>
          <w:color w:val="auto"/>
          <w:sz w:val="24"/>
        </w:rPr>
        <w:t>附　則</w:t>
      </w:r>
    </w:p>
    <w:p>
      <w:pPr>
        <w:pStyle w:val="0"/>
        <w:ind w:left="273" w:hanging="273" w:hangingChars="100"/>
        <w:rPr>
          <w:rFonts w:hint="default"/>
          <w:color w:val="auto"/>
          <w:sz w:val="24"/>
        </w:rPr>
      </w:pPr>
      <w:r>
        <w:rPr>
          <w:rFonts w:hint="eastAsia"/>
          <w:color w:val="auto"/>
          <w:sz w:val="24"/>
        </w:rPr>
        <w:t>（施行期日）</w:t>
      </w:r>
    </w:p>
    <w:p>
      <w:pPr>
        <w:pStyle w:val="0"/>
        <w:ind w:firstLine="273" w:firstLineChars="100"/>
        <w:rPr>
          <w:rFonts w:hint="default"/>
          <w:color w:val="auto"/>
          <w:sz w:val="24"/>
        </w:rPr>
      </w:pPr>
      <w:r>
        <w:rPr>
          <w:rFonts w:hint="eastAsia"/>
          <w:color w:val="auto"/>
          <w:sz w:val="24"/>
        </w:rPr>
        <w:t>この要領は、平成２７年５月１９日から施行し、同日以後に公告又は通知を行うものから適用する。</w:t>
      </w:r>
    </w:p>
    <w:p>
      <w:pPr>
        <w:pStyle w:val="0"/>
        <w:ind w:firstLine="273" w:firstLineChars="100"/>
        <w:rPr>
          <w:rFonts w:hint="default"/>
          <w:color w:val="auto"/>
          <w:sz w:val="24"/>
        </w:rPr>
      </w:pPr>
      <w:r>
        <w:rPr>
          <w:rFonts w:hint="eastAsia"/>
          <w:color w:val="auto"/>
          <w:sz w:val="24"/>
        </w:rPr>
        <w:t>　　　附　則</w:t>
      </w:r>
    </w:p>
    <w:p>
      <w:pPr>
        <w:pStyle w:val="0"/>
        <w:ind w:firstLine="273" w:firstLineChars="100"/>
        <w:rPr>
          <w:rFonts w:hint="default"/>
          <w:color w:val="auto"/>
          <w:sz w:val="24"/>
        </w:rPr>
      </w:pPr>
      <w:r>
        <w:rPr>
          <w:rFonts w:hint="eastAsia"/>
          <w:color w:val="auto"/>
          <w:sz w:val="24"/>
        </w:rPr>
        <w:t>この要領は、平成２９年４月３日から施行する。</w:t>
      </w:r>
    </w:p>
    <w:p>
      <w:pPr>
        <w:pStyle w:val="0"/>
        <w:ind w:firstLine="273" w:firstLineChars="100"/>
        <w:rPr>
          <w:rFonts w:hint="default"/>
          <w:color w:val="auto"/>
          <w:sz w:val="24"/>
        </w:rPr>
      </w:pPr>
      <w:r>
        <w:rPr>
          <w:rFonts w:hint="eastAsia"/>
          <w:color w:val="auto"/>
          <w:sz w:val="24"/>
        </w:rPr>
        <w:t>　　　附　則</w:t>
      </w:r>
    </w:p>
    <w:p>
      <w:pPr>
        <w:pStyle w:val="0"/>
        <w:ind w:firstLine="273" w:firstLineChars="100"/>
        <w:rPr>
          <w:rFonts w:hint="default"/>
          <w:color w:val="auto"/>
          <w:sz w:val="24"/>
        </w:rPr>
      </w:pPr>
      <w:r>
        <w:rPr>
          <w:rFonts w:hint="eastAsia"/>
          <w:color w:val="auto"/>
          <w:sz w:val="24"/>
        </w:rPr>
        <w:t>この要領は、平成３０年８月１日から施行する。</w:t>
      </w:r>
    </w:p>
    <w:p>
      <w:pPr>
        <w:pStyle w:val="0"/>
        <w:ind w:firstLine="1092" w:firstLineChars="400"/>
        <w:rPr>
          <w:rFonts w:hint="default"/>
          <w:color w:val="auto"/>
          <w:sz w:val="24"/>
        </w:rPr>
      </w:pPr>
      <w:r>
        <w:rPr>
          <w:rFonts w:hint="eastAsia"/>
          <w:color w:val="auto"/>
          <w:sz w:val="24"/>
        </w:rPr>
        <w:t>附　則</w:t>
      </w:r>
    </w:p>
    <w:p>
      <w:pPr>
        <w:pStyle w:val="0"/>
        <w:ind w:firstLine="273" w:firstLineChars="100"/>
        <w:rPr>
          <w:rFonts w:hint="default"/>
          <w:color w:val="auto"/>
          <w:sz w:val="24"/>
        </w:rPr>
      </w:pPr>
      <w:r>
        <w:rPr>
          <w:rFonts w:hint="eastAsia"/>
          <w:color w:val="auto"/>
          <w:sz w:val="24"/>
        </w:rPr>
        <w:t>この要領は、令和２年８月１日から施行する。</w:t>
      </w:r>
    </w:p>
    <w:p>
      <w:pPr>
        <w:pStyle w:val="0"/>
        <w:ind w:firstLine="1092" w:firstLineChars="400"/>
        <w:rPr>
          <w:rFonts w:hint="default"/>
          <w:color w:val="auto"/>
          <w:sz w:val="24"/>
        </w:rPr>
      </w:pPr>
      <w:r>
        <w:rPr>
          <w:rFonts w:hint="eastAsia"/>
          <w:color w:val="auto"/>
          <w:sz w:val="24"/>
        </w:rPr>
        <w:t>附　則</w:t>
      </w:r>
    </w:p>
    <w:p>
      <w:pPr>
        <w:pStyle w:val="0"/>
        <w:ind w:firstLine="273" w:firstLineChars="100"/>
        <w:rPr>
          <w:rFonts w:hint="default"/>
          <w:color w:val="auto"/>
          <w:sz w:val="24"/>
          <w:highlight w:val="none"/>
        </w:rPr>
      </w:pPr>
      <w:r>
        <w:rPr>
          <w:rFonts w:hint="eastAsia"/>
          <w:color w:val="auto"/>
          <w:sz w:val="24"/>
          <w:highlight w:val="none"/>
        </w:rPr>
        <w:t>この要領は、令和４年１０月１日から施行する。</w:t>
      </w:r>
    </w:p>
    <w:p>
      <w:pPr>
        <w:pStyle w:val="0"/>
        <w:ind w:left="0" w:leftChars="0" w:firstLine="1092" w:firstLineChars="400"/>
        <w:rPr>
          <w:rFonts w:hint="eastAsia"/>
          <w:color w:val="auto"/>
          <w:sz w:val="24"/>
          <w:highlight w:val="none"/>
        </w:rPr>
      </w:pPr>
      <w:r>
        <w:rPr>
          <w:rFonts w:hint="eastAsia"/>
          <w:color w:val="auto"/>
          <w:sz w:val="24"/>
          <w:highlight w:val="none"/>
        </w:rPr>
        <w:t>附　則</w:t>
      </w:r>
    </w:p>
    <w:p>
      <w:pPr>
        <w:pStyle w:val="0"/>
        <w:ind w:left="0" w:leftChars="0" w:firstLine="273" w:firstLineChars="100"/>
        <w:rPr>
          <w:rFonts w:hint="default"/>
          <w:color w:val="auto"/>
          <w:sz w:val="24"/>
          <w:highlight w:val="none"/>
        </w:rPr>
      </w:pPr>
      <w:r>
        <w:rPr>
          <w:rFonts w:hint="eastAsia"/>
          <w:color w:val="auto"/>
          <w:sz w:val="24"/>
          <w:highlight w:val="none"/>
        </w:rPr>
        <w:t>この要領は、令和６年１０月１日から施行し、改正後の下関市地籍調査業務委託に関する最低制限価格制度実施要領の規定は、同日以後に公告又は通知を行うものから適用する。</w:t>
      </w:r>
    </w:p>
    <w:p>
      <w:pPr>
        <w:pStyle w:val="0"/>
        <w:widowControl w:val="1"/>
        <w:jc w:val="left"/>
        <w:rPr>
          <w:rFonts w:hint="default"/>
          <w:color w:val="auto"/>
          <w:sz w:val="24"/>
        </w:rPr>
      </w:pPr>
      <w:r>
        <w:rPr>
          <w:rFonts w:hint="default"/>
          <w:color w:val="auto"/>
          <w:sz w:val="24"/>
        </w:rPr>
        <w:br w:type="page"/>
      </w:r>
    </w:p>
    <w:p>
      <w:pPr>
        <w:pStyle w:val="0"/>
        <w:ind w:left="273" w:hanging="273" w:hangingChars="100"/>
        <w:rPr>
          <w:rFonts w:hint="default"/>
          <w:color w:val="auto"/>
          <w:sz w:val="24"/>
        </w:rPr>
      </w:pPr>
      <w:r>
        <w:rPr>
          <w:rFonts w:hint="eastAsia"/>
          <w:color w:val="auto"/>
          <w:sz w:val="24"/>
        </w:rPr>
        <w:t>別表１</w:t>
      </w:r>
    </w:p>
    <w:tbl>
      <w:tblPr>
        <w:tblStyle w:val="11"/>
        <w:tblW w:w="745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9"/>
      </w:tblGrid>
      <w:tr>
        <w:trPr>
          <w:trHeight w:val="375" w:hRule="atLeast"/>
        </w:trPr>
        <w:tc>
          <w:tcPr>
            <w:tcW w:w="74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24"/>
              </w:rPr>
            </w:pPr>
            <w:r>
              <w:rPr>
                <w:rFonts w:hint="eastAsia"/>
                <w:color w:val="auto"/>
                <w:sz w:val="24"/>
              </w:rPr>
              <w:t>最低制限価格基準額</w:t>
            </w:r>
          </w:p>
        </w:tc>
      </w:tr>
      <w:tr>
        <w:trPr>
          <w:trHeight w:val="330" w:hRule="atLeast"/>
        </w:trPr>
        <w:tc>
          <w:tcPr>
            <w:tcW w:w="7459" w:type="dxa"/>
            <w:vAlign w:val="top"/>
          </w:tcPr>
          <w:p>
            <w:pPr>
              <w:pStyle w:val="0"/>
              <w:rPr>
                <w:rFonts w:hint="default"/>
                <w:color w:val="auto"/>
                <w:sz w:val="24"/>
              </w:rPr>
            </w:pPr>
            <w:r>
              <w:rPr>
                <w:rFonts w:hint="eastAsia"/>
                <w:color w:val="auto"/>
                <w:sz w:val="24"/>
              </w:rPr>
              <w:t>・直接経費の額</w:t>
            </w:r>
          </w:p>
          <w:p>
            <w:pPr>
              <w:pStyle w:val="0"/>
              <w:rPr>
                <w:rFonts w:hint="default"/>
                <w:color w:val="auto"/>
                <w:sz w:val="24"/>
                <w:highlight w:val="none"/>
              </w:rPr>
            </w:pPr>
            <w:r>
              <w:rPr>
                <w:rFonts w:hint="eastAsia"/>
                <w:color w:val="auto"/>
                <w:sz w:val="24"/>
                <w:highlight w:val="none"/>
              </w:rPr>
              <w:t>・諸経費の額に１０分の５を乗じて得た額</w:t>
            </w:r>
          </w:p>
          <w:p>
            <w:pPr>
              <w:pStyle w:val="0"/>
              <w:ind w:firstLine="273" w:firstLineChars="100"/>
              <w:rPr>
                <w:rFonts w:hint="default"/>
                <w:color w:val="auto"/>
                <w:sz w:val="24"/>
                <w:highlight w:val="none"/>
              </w:rPr>
            </w:pPr>
            <w:r>
              <w:rPr>
                <w:rFonts w:hint="eastAsia"/>
                <w:color w:val="auto"/>
                <w:sz w:val="24"/>
                <w:highlight w:val="none"/>
              </w:rPr>
              <w:t>の合計額</w:t>
            </w:r>
          </w:p>
          <w:p>
            <w:pPr>
              <w:pStyle w:val="0"/>
              <w:rPr>
                <w:rFonts w:hint="default"/>
                <w:color w:val="auto"/>
                <w:sz w:val="24"/>
              </w:rPr>
            </w:pPr>
            <w:r>
              <w:rPr>
                <w:rFonts w:hint="eastAsia"/>
                <w:color w:val="auto"/>
                <w:sz w:val="24"/>
              </w:rPr>
              <w:t>（小数点以下切り捨て）</w:t>
            </w:r>
          </w:p>
        </w:tc>
      </w:tr>
    </w:tbl>
    <w:p>
      <w:pPr>
        <w:pStyle w:val="0"/>
        <w:tabs>
          <w:tab w:val="left" w:leader="none" w:pos="5103"/>
        </w:tabs>
        <w:ind w:left="281" w:right="989" w:rightChars="407" w:hanging="281" w:hangingChars="103"/>
        <w:rPr>
          <w:rFonts w:hint="default"/>
          <w:color w:val="auto"/>
          <w:sz w:val="24"/>
        </w:rPr>
      </w:pPr>
      <w:r>
        <w:rPr>
          <w:rFonts w:hint="eastAsia"/>
          <w:color w:val="auto"/>
          <w:sz w:val="24"/>
        </w:rPr>
        <w:t>※　直接経費とは、委託料のうち諸経費を除く経費と成果検定費とする。</w:t>
      </w:r>
    </w:p>
    <w:p>
      <w:pPr>
        <w:pStyle w:val="0"/>
        <w:tabs>
          <w:tab w:val="left" w:leader="none" w:pos="5103"/>
        </w:tabs>
        <w:ind w:left="281" w:right="989" w:rightChars="407" w:hanging="281" w:hangingChars="103"/>
        <w:rPr>
          <w:rFonts w:hint="default"/>
          <w:color w:val="auto"/>
          <w:sz w:val="24"/>
        </w:rPr>
      </w:pPr>
    </w:p>
    <w:p>
      <w:pPr>
        <w:pStyle w:val="0"/>
        <w:ind w:left="273" w:hanging="273" w:hangingChars="100"/>
        <w:rPr>
          <w:rFonts w:hint="default"/>
          <w:color w:val="auto"/>
          <w:sz w:val="24"/>
        </w:rPr>
      </w:pPr>
      <w:r>
        <w:rPr>
          <w:rFonts w:hint="eastAsia"/>
          <w:color w:val="auto"/>
          <w:sz w:val="24"/>
        </w:rPr>
        <w:t>別表２</w:t>
      </w:r>
    </w:p>
    <w:tbl>
      <w:tblPr>
        <w:tblStyle w:val="11"/>
        <w:tblW w:w="748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62"/>
        <w:gridCol w:w="3827"/>
      </w:tblGrid>
      <w:tr>
        <w:trPr>
          <w:trHeight w:val="375" w:hRule="atLeast"/>
        </w:trPr>
        <w:tc>
          <w:tcPr>
            <w:tcW w:w="3662" w:type="dxa"/>
            <w:vAlign w:val="top"/>
          </w:tcPr>
          <w:p>
            <w:pPr>
              <w:pStyle w:val="0"/>
              <w:rPr>
                <w:rFonts w:hint="default"/>
                <w:color w:val="auto"/>
                <w:sz w:val="24"/>
              </w:rPr>
            </w:pPr>
            <w:r>
              <w:rPr>
                <w:rFonts w:hint="eastAsia"/>
                <w:color w:val="auto"/>
                <w:sz w:val="24"/>
              </w:rPr>
              <w:t>上限額</w:t>
            </w:r>
          </w:p>
        </w:tc>
        <w:tc>
          <w:tcPr>
            <w:tcW w:w="3827" w:type="dxa"/>
            <w:vAlign w:val="top"/>
          </w:tcPr>
          <w:p>
            <w:pPr>
              <w:pStyle w:val="0"/>
              <w:rPr>
                <w:rFonts w:hint="default"/>
                <w:color w:val="auto"/>
                <w:sz w:val="24"/>
              </w:rPr>
            </w:pPr>
            <w:r>
              <w:rPr>
                <w:rFonts w:hint="eastAsia"/>
                <w:color w:val="auto"/>
                <w:sz w:val="24"/>
              </w:rPr>
              <w:t>下限額</w:t>
            </w:r>
          </w:p>
        </w:tc>
      </w:tr>
      <w:tr>
        <w:trPr>
          <w:trHeight w:val="390" w:hRule="atLeast"/>
        </w:trPr>
        <w:tc>
          <w:tcPr>
            <w:tcW w:w="3662" w:type="dxa"/>
            <w:vAlign w:val="top"/>
          </w:tcPr>
          <w:p>
            <w:pPr>
              <w:pStyle w:val="0"/>
              <w:rPr>
                <w:rFonts w:hint="default"/>
                <w:color w:val="auto"/>
                <w:sz w:val="24"/>
              </w:rPr>
            </w:pPr>
            <w:r>
              <w:rPr>
                <w:rFonts w:hint="eastAsia"/>
                <w:color w:val="auto"/>
                <w:sz w:val="24"/>
              </w:rPr>
              <w:t>設計金額（税抜き）に１０分の８．２を乗じて得た額</w:t>
            </w:r>
          </w:p>
          <w:p>
            <w:pPr>
              <w:pStyle w:val="0"/>
              <w:rPr>
                <w:rFonts w:hint="default"/>
                <w:color w:val="auto"/>
                <w:sz w:val="24"/>
              </w:rPr>
            </w:pPr>
            <w:r>
              <w:rPr>
                <w:rFonts w:hint="eastAsia"/>
                <w:color w:val="auto"/>
                <w:sz w:val="24"/>
              </w:rPr>
              <w:t>（小数点以下切り捨て）</w:t>
            </w:r>
          </w:p>
        </w:tc>
        <w:tc>
          <w:tcPr>
            <w:tcW w:w="3827" w:type="dxa"/>
            <w:vAlign w:val="top"/>
          </w:tcPr>
          <w:p>
            <w:pPr>
              <w:pStyle w:val="0"/>
              <w:rPr>
                <w:rFonts w:hint="default"/>
                <w:color w:val="auto"/>
                <w:sz w:val="24"/>
              </w:rPr>
            </w:pPr>
            <w:r>
              <w:rPr>
                <w:rFonts w:hint="eastAsia"/>
                <w:color w:val="auto"/>
                <w:sz w:val="24"/>
              </w:rPr>
              <w:t>設計金額（税抜き）に１０分の６を乗じて得た額</w:t>
            </w:r>
          </w:p>
          <w:p>
            <w:pPr>
              <w:pStyle w:val="0"/>
              <w:rPr>
                <w:rFonts w:hint="default"/>
                <w:color w:val="auto"/>
                <w:sz w:val="24"/>
              </w:rPr>
            </w:pPr>
            <w:r>
              <w:rPr>
                <w:rFonts w:hint="eastAsia"/>
                <w:color w:val="auto"/>
                <w:sz w:val="24"/>
              </w:rPr>
              <w:t>（小数点以下切り捨て）</w:t>
            </w:r>
          </w:p>
        </w:tc>
      </w:tr>
    </w:tbl>
    <w:p>
      <w:pPr>
        <w:pStyle w:val="0"/>
        <w:ind w:left="273" w:hanging="273" w:hangingChars="100"/>
        <w:rPr>
          <w:rFonts w:hint="default"/>
          <w:color w:val="auto"/>
          <w:sz w:val="24"/>
        </w:rPr>
      </w:pPr>
    </w:p>
    <w:sectPr>
      <w:headerReference r:id="rId5" w:type="default"/>
      <w:footerReference r:id="rId6" w:type="default"/>
      <w:pgSz w:w="11906" w:h="16838"/>
      <w:pgMar w:top="1135" w:right="1701" w:bottom="1701" w:left="1701" w:header="851" w:footer="992" w:gutter="0"/>
      <w:cols w:space="720"/>
      <w:textDirection w:val="lrTb"/>
      <w:docGrid w:type="linesAndChars" w:linePitch="438"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別紙②</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3</Pages>
  <Words>1</Words>
  <Characters>940</Characters>
  <Application>JUST Note</Application>
  <Lines>63</Lines>
  <Paragraphs>39</Paragraphs>
  <CharactersWithSpaces>961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axxxxxx</dc:creator>
  <cp:lastModifiedBy>来見田　宏次</cp:lastModifiedBy>
  <cp:lastPrinted>2025-04-22T03:01:43Z</cp:lastPrinted>
  <dcterms:created xsi:type="dcterms:W3CDTF">2018-07-31T04:52:00Z</dcterms:created>
  <dcterms:modified xsi:type="dcterms:W3CDTF">2025-05-08T04:40:03Z</dcterms:modified>
  <cp:revision>4</cp:revision>
</cp:coreProperties>
</file>